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FEB" w:rsidRPr="00DF5296" w:rsidRDefault="00355FEB" w:rsidP="00355FEB">
      <w:pPr>
        <w:pStyle w:val="Sinespaciado"/>
        <w:jc w:val="center"/>
        <w:rPr>
          <w:rFonts w:ascii="Verdana" w:hAnsi="Verdana"/>
          <w:sz w:val="22"/>
          <w:szCs w:val="22"/>
          <w:lang w:val="es-MX"/>
        </w:rPr>
      </w:pPr>
    </w:p>
    <w:p w:rsidR="00355FEB" w:rsidRPr="00DF5296" w:rsidRDefault="00355FEB" w:rsidP="00355FEB">
      <w:pPr>
        <w:pStyle w:val="Sinespaciado"/>
        <w:jc w:val="center"/>
        <w:rPr>
          <w:rFonts w:ascii="Verdana" w:hAnsi="Verdana"/>
          <w:b/>
          <w:sz w:val="22"/>
          <w:szCs w:val="22"/>
          <w:lang w:val="es-MX"/>
        </w:rPr>
      </w:pPr>
      <w:r w:rsidRPr="00DF5296">
        <w:rPr>
          <w:rFonts w:ascii="Verdana" w:hAnsi="Verdana"/>
          <w:b/>
          <w:sz w:val="22"/>
          <w:szCs w:val="22"/>
          <w:lang w:val="es-MX"/>
        </w:rPr>
        <w:t xml:space="preserve">RESOLUCION </w:t>
      </w:r>
      <w:bookmarkStart w:id="0" w:name="_GoBack"/>
      <w:r w:rsidRPr="00DF5296">
        <w:rPr>
          <w:rFonts w:ascii="Verdana" w:hAnsi="Verdana"/>
          <w:b/>
          <w:sz w:val="22"/>
          <w:szCs w:val="22"/>
          <w:lang w:val="es-MX"/>
        </w:rPr>
        <w:t>TAT-3036-2016</w:t>
      </w:r>
      <w:bookmarkEnd w:id="0"/>
    </w:p>
    <w:p w:rsidR="00355FEB" w:rsidRPr="00DF5296" w:rsidRDefault="00355FEB" w:rsidP="00355FEB">
      <w:pPr>
        <w:pStyle w:val="Sinespaciado"/>
        <w:jc w:val="both"/>
        <w:rPr>
          <w:rFonts w:ascii="Verdana" w:hAnsi="Verdana"/>
          <w:b/>
          <w:sz w:val="22"/>
          <w:szCs w:val="22"/>
        </w:rPr>
      </w:pPr>
    </w:p>
    <w:p w:rsidR="00355FEB" w:rsidRPr="00DF5296" w:rsidRDefault="00355FEB" w:rsidP="00355FEB">
      <w:pPr>
        <w:pStyle w:val="Sinespaciado"/>
        <w:jc w:val="both"/>
        <w:rPr>
          <w:rFonts w:ascii="Verdana" w:hAnsi="Verdana"/>
          <w:sz w:val="22"/>
          <w:szCs w:val="22"/>
        </w:rPr>
      </w:pPr>
      <w:r w:rsidRPr="00DF5296">
        <w:rPr>
          <w:rFonts w:ascii="Verdana" w:hAnsi="Verdana"/>
          <w:b/>
          <w:sz w:val="22"/>
          <w:szCs w:val="22"/>
        </w:rPr>
        <w:t>TRIBUNAL ADMINISTRATIVO DE TRANSPORTE.  San José, a</w:t>
      </w:r>
      <w:r w:rsidRPr="00DF5296">
        <w:rPr>
          <w:rFonts w:ascii="Verdana" w:hAnsi="Verdana"/>
          <w:sz w:val="22"/>
          <w:szCs w:val="22"/>
          <w:lang w:val="es-MX"/>
        </w:rPr>
        <w:t xml:space="preserve"> las diez horas veintitrés minutos del veintinueve de junio de dos mil dieciséis.</w:t>
      </w:r>
    </w:p>
    <w:p w:rsidR="00355FEB" w:rsidRPr="00DF5296" w:rsidRDefault="00355FEB" w:rsidP="00355FEB">
      <w:pPr>
        <w:jc w:val="both"/>
        <w:rPr>
          <w:rFonts w:ascii="Verdana" w:hAnsi="Verdana"/>
          <w:smallCaps/>
          <w:sz w:val="22"/>
          <w:szCs w:val="22"/>
        </w:rPr>
      </w:pPr>
    </w:p>
    <w:p w:rsidR="00355FEB" w:rsidRPr="00DF5296" w:rsidRDefault="00355FEB" w:rsidP="00355FEB">
      <w:pPr>
        <w:jc w:val="both"/>
        <w:rPr>
          <w:rFonts w:ascii="Verdana" w:hAnsi="Verdana"/>
          <w:b/>
          <w:sz w:val="22"/>
          <w:szCs w:val="22"/>
        </w:rPr>
      </w:pPr>
      <w:r w:rsidRPr="00DF5296">
        <w:rPr>
          <w:rFonts w:ascii="Verdana" w:hAnsi="Verdana" w:cs="Arial"/>
          <w:b/>
          <w:sz w:val="22"/>
          <w:szCs w:val="22"/>
        </w:rPr>
        <w:t>Recurso de Apelación en Subsidio y Nulidad concomitante,</w:t>
      </w:r>
      <w:r w:rsidRPr="00DF5296">
        <w:rPr>
          <w:rFonts w:ascii="Verdana" w:hAnsi="Verdana" w:cs="Arial"/>
          <w:sz w:val="22"/>
          <w:szCs w:val="22"/>
        </w:rPr>
        <w:t xml:space="preserve"> presentado por la empresa </w:t>
      </w:r>
      <w:r>
        <w:rPr>
          <w:rFonts w:ascii="Verdana" w:hAnsi="Verdana" w:cs="Arial"/>
          <w:b/>
          <w:sz w:val="22"/>
          <w:szCs w:val="22"/>
        </w:rPr>
        <w:t>C.A.S.</w:t>
      </w:r>
      <w:r w:rsidRPr="00DF5296">
        <w:rPr>
          <w:rFonts w:ascii="Verdana" w:hAnsi="Verdana" w:cs="Arial"/>
          <w:b/>
          <w:sz w:val="22"/>
          <w:szCs w:val="22"/>
        </w:rPr>
        <w:t xml:space="preserve">, </w:t>
      </w:r>
      <w:r w:rsidRPr="00DF5296">
        <w:rPr>
          <w:rFonts w:ascii="Verdana" w:hAnsi="Verdana" w:cs="Arial"/>
          <w:sz w:val="22"/>
          <w:szCs w:val="22"/>
        </w:rPr>
        <w:t>por medio del señor</w:t>
      </w:r>
      <w:r w:rsidRPr="00DF5296">
        <w:rPr>
          <w:rFonts w:ascii="Verdana" w:hAnsi="Verdana" w:cs="Arial"/>
          <w:b/>
          <w:sz w:val="22"/>
          <w:szCs w:val="22"/>
        </w:rPr>
        <w:t xml:space="preserve"> </w:t>
      </w:r>
      <w:r>
        <w:rPr>
          <w:rFonts w:ascii="Verdana" w:hAnsi="Verdana" w:cs="Arial"/>
          <w:b/>
          <w:sz w:val="22"/>
          <w:szCs w:val="22"/>
        </w:rPr>
        <w:t>A.O.M.</w:t>
      </w:r>
      <w:r w:rsidRPr="00DF5296">
        <w:rPr>
          <w:rFonts w:ascii="Verdana" w:hAnsi="Verdana" w:cs="Arial"/>
          <w:b/>
          <w:sz w:val="22"/>
          <w:szCs w:val="22"/>
        </w:rPr>
        <w:t xml:space="preserve">, </w:t>
      </w:r>
      <w:r w:rsidRPr="00DF5296">
        <w:rPr>
          <w:rFonts w:ascii="Verdana" w:hAnsi="Verdana" w:cs="Arial"/>
          <w:sz w:val="22"/>
          <w:szCs w:val="22"/>
        </w:rPr>
        <w:t xml:space="preserve">en su condición de Apoderado Generalísimo sin Límite de Suma, contra el </w:t>
      </w:r>
      <w:r>
        <w:rPr>
          <w:rFonts w:ascii="Verdana" w:hAnsi="Verdana" w:cs="Arial"/>
          <w:b/>
          <w:sz w:val="22"/>
          <w:szCs w:val="22"/>
        </w:rPr>
        <w:t>a</w:t>
      </w:r>
      <w:r w:rsidRPr="00DF5296">
        <w:rPr>
          <w:rFonts w:ascii="Verdana" w:hAnsi="Verdana" w:cs="Arial"/>
          <w:b/>
          <w:sz w:val="22"/>
          <w:szCs w:val="22"/>
        </w:rPr>
        <w:t>rtículo 7.2 de la Sesión Ordinaria 44-2015 del 30 de julio de 2015, de la Junta Directiva del Consejo de Transporte Público.</w:t>
      </w:r>
      <w:r w:rsidRPr="00DF5296">
        <w:rPr>
          <w:rFonts w:ascii="Verdana" w:hAnsi="Verdana" w:cs="Arial"/>
          <w:sz w:val="22"/>
          <w:szCs w:val="22"/>
        </w:rPr>
        <w:t xml:space="preserve">  </w:t>
      </w:r>
      <w:r w:rsidRPr="00DF5296">
        <w:rPr>
          <w:rFonts w:ascii="Verdana" w:hAnsi="Verdana"/>
          <w:sz w:val="22"/>
          <w:szCs w:val="22"/>
        </w:rPr>
        <w:t xml:space="preserve">El presente caso es tramitado en este despacho bajo </w:t>
      </w:r>
      <w:r w:rsidRPr="00DF5296">
        <w:rPr>
          <w:rFonts w:ascii="Verdana" w:hAnsi="Verdana"/>
          <w:b/>
          <w:sz w:val="22"/>
          <w:szCs w:val="22"/>
        </w:rPr>
        <w:t>Exp</w:t>
      </w:r>
      <w:r>
        <w:rPr>
          <w:rFonts w:ascii="Verdana" w:hAnsi="Verdana"/>
          <w:b/>
          <w:sz w:val="22"/>
          <w:szCs w:val="22"/>
        </w:rPr>
        <w:t>ediente Administrativo No. TAT-</w:t>
      </w:r>
      <w:r w:rsidRPr="00DF5296">
        <w:rPr>
          <w:rFonts w:ascii="Verdana" w:hAnsi="Verdana"/>
          <w:b/>
          <w:sz w:val="22"/>
          <w:szCs w:val="22"/>
        </w:rPr>
        <w:t>068-16.</w:t>
      </w:r>
    </w:p>
    <w:p w:rsidR="00355FEB" w:rsidRPr="00DF5296" w:rsidRDefault="00355FEB" w:rsidP="00355FEB">
      <w:pPr>
        <w:pStyle w:val="Sinespaciado"/>
        <w:spacing w:line="276" w:lineRule="auto"/>
        <w:jc w:val="both"/>
        <w:rPr>
          <w:rFonts w:ascii="Verdana" w:hAnsi="Verdana"/>
          <w:b/>
          <w:sz w:val="22"/>
          <w:szCs w:val="22"/>
          <w:lang w:val="es-MX"/>
        </w:rPr>
      </w:pPr>
    </w:p>
    <w:p w:rsidR="00355FEB" w:rsidRPr="00DF5296" w:rsidRDefault="00355FEB" w:rsidP="00355FEB">
      <w:pPr>
        <w:pStyle w:val="Sinespaciado"/>
        <w:spacing w:line="276" w:lineRule="auto"/>
        <w:jc w:val="center"/>
        <w:rPr>
          <w:rFonts w:ascii="Verdana" w:hAnsi="Verdana"/>
          <w:b/>
          <w:sz w:val="22"/>
          <w:szCs w:val="22"/>
          <w:lang w:val="es-MX"/>
        </w:rPr>
      </w:pPr>
      <w:r w:rsidRPr="00DF5296">
        <w:rPr>
          <w:rFonts w:ascii="Verdana" w:hAnsi="Verdana"/>
          <w:b/>
          <w:sz w:val="22"/>
          <w:szCs w:val="22"/>
          <w:lang w:val="es-MX"/>
        </w:rPr>
        <w:t>RESULTANDO</w:t>
      </w:r>
    </w:p>
    <w:p w:rsidR="00355FEB" w:rsidRPr="00DF5296" w:rsidRDefault="00355FEB" w:rsidP="00355FEB">
      <w:pPr>
        <w:pStyle w:val="Sinespaciado"/>
        <w:spacing w:line="276" w:lineRule="auto"/>
        <w:jc w:val="both"/>
        <w:rPr>
          <w:rFonts w:ascii="Verdana" w:hAnsi="Verdana"/>
          <w:b/>
          <w:sz w:val="22"/>
          <w:szCs w:val="22"/>
          <w:lang w:val="es-MX"/>
        </w:rPr>
      </w:pP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 xml:space="preserve">PRIMERO: </w:t>
      </w:r>
      <w:r w:rsidRPr="00DF5296">
        <w:rPr>
          <w:rFonts w:ascii="Verdana" w:hAnsi="Verdana"/>
          <w:sz w:val="22"/>
          <w:szCs w:val="22"/>
          <w:lang w:val="es-MX"/>
        </w:rPr>
        <w:t xml:space="preserve">La Junta Directiva del Consejo de Transporte Público, mediante </w:t>
      </w:r>
      <w:r>
        <w:rPr>
          <w:rFonts w:ascii="Verdana" w:hAnsi="Verdana" w:cs="Arial"/>
          <w:b/>
          <w:sz w:val="22"/>
          <w:szCs w:val="22"/>
        </w:rPr>
        <w:t>a</w:t>
      </w:r>
      <w:r w:rsidRPr="00DF5296">
        <w:rPr>
          <w:rFonts w:ascii="Verdana" w:hAnsi="Verdana" w:cs="Arial"/>
          <w:b/>
          <w:sz w:val="22"/>
          <w:szCs w:val="22"/>
        </w:rPr>
        <w:t>rtículo 7.2 de la Sesión Ordinaria 44-2015 del 30 de julio de 2015</w:t>
      </w:r>
      <w:r w:rsidRPr="00DF5296">
        <w:rPr>
          <w:rFonts w:ascii="Verdana" w:hAnsi="Verdana"/>
          <w:sz w:val="22"/>
          <w:szCs w:val="22"/>
          <w:lang w:val="es-MX"/>
        </w:rPr>
        <w:t xml:space="preserve">, dispuso aprobar el </w:t>
      </w:r>
      <w:r w:rsidRPr="00DF5296">
        <w:rPr>
          <w:rFonts w:ascii="Verdana" w:hAnsi="Verdana"/>
          <w:b/>
          <w:sz w:val="22"/>
          <w:szCs w:val="22"/>
          <w:lang w:val="es-MX"/>
        </w:rPr>
        <w:t>“MANUAL PARA LA EVALUACIÓN Y CALIFICACIÓN DE LA CALIDAD DEL SERVICIO PUBLICO DE TRANSPORTE REMUNERADO DE PERSONAS”</w:t>
      </w:r>
      <w:r w:rsidRPr="00DF5296">
        <w:rPr>
          <w:rFonts w:ascii="Verdana" w:hAnsi="Verdana"/>
          <w:sz w:val="22"/>
          <w:szCs w:val="22"/>
          <w:lang w:val="es-MX"/>
        </w:rPr>
        <w:t>. (Léanse folios del 31 al 67 del expediente administrativo).</w:t>
      </w:r>
    </w:p>
    <w:p w:rsidR="00355FEB" w:rsidRPr="00DF5296" w:rsidRDefault="00355FEB" w:rsidP="00355FEB">
      <w:pPr>
        <w:pStyle w:val="Sinespaciado"/>
        <w:spacing w:line="276" w:lineRule="auto"/>
        <w:jc w:val="both"/>
        <w:rPr>
          <w:rFonts w:ascii="Verdana" w:hAnsi="Verdana"/>
          <w:sz w:val="22"/>
          <w:szCs w:val="22"/>
          <w:lang w:val="es-MX"/>
        </w:rPr>
      </w:pP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SEGUNDO: La recurrente</w:t>
      </w:r>
      <w:r w:rsidRPr="00DF5296">
        <w:rPr>
          <w:rFonts w:ascii="Verdana" w:hAnsi="Verdana" w:cs="Arial"/>
          <w:b/>
          <w:sz w:val="22"/>
          <w:szCs w:val="22"/>
        </w:rPr>
        <w:t xml:space="preserve">, </w:t>
      </w:r>
      <w:r w:rsidRPr="00DF5296">
        <w:rPr>
          <w:rFonts w:ascii="Verdana" w:hAnsi="Verdana" w:cs="Arial"/>
          <w:sz w:val="22"/>
          <w:szCs w:val="22"/>
        </w:rPr>
        <w:t xml:space="preserve">impugna el </w:t>
      </w:r>
      <w:r w:rsidRPr="00DF5296">
        <w:rPr>
          <w:rFonts w:ascii="Verdana" w:hAnsi="Verdana" w:cs="Arial"/>
          <w:b/>
          <w:sz w:val="22"/>
          <w:szCs w:val="22"/>
        </w:rPr>
        <w:t>Artículo 7.2 de la Sesión Ordinaria 44-2015, de la Junta Directiva del Consejo de Transporte Público,</w:t>
      </w:r>
      <w:r w:rsidRPr="00DF5296">
        <w:rPr>
          <w:rFonts w:ascii="Verdana" w:hAnsi="Verdana" w:cs="Arial"/>
          <w:sz w:val="22"/>
          <w:szCs w:val="22"/>
        </w:rPr>
        <w:t xml:space="preserve"> indicando lo siguiente:</w:t>
      </w:r>
      <w:r w:rsidRPr="00DF5296">
        <w:rPr>
          <w:rFonts w:ascii="Verdana" w:hAnsi="Verdana"/>
          <w:sz w:val="22"/>
          <w:szCs w:val="22"/>
          <w:lang w:val="es-MX"/>
        </w:rPr>
        <w:t xml:space="preserve"> (Léanse folios del 11 al 26</w:t>
      </w:r>
      <w:r>
        <w:rPr>
          <w:rFonts w:ascii="Verdana" w:hAnsi="Verdana"/>
          <w:sz w:val="22"/>
          <w:szCs w:val="22"/>
          <w:lang w:val="es-MX"/>
        </w:rPr>
        <w:t xml:space="preserve"> </w:t>
      </w:r>
      <w:r w:rsidRPr="00DF5296">
        <w:rPr>
          <w:rFonts w:ascii="Verdana" w:hAnsi="Verdana"/>
          <w:sz w:val="22"/>
          <w:szCs w:val="22"/>
          <w:lang w:val="es-MX"/>
        </w:rPr>
        <w:t>del expediente administrativo)</w:t>
      </w:r>
    </w:p>
    <w:p w:rsidR="00355FEB" w:rsidRPr="00DF5296" w:rsidRDefault="00355FEB" w:rsidP="00355FEB">
      <w:pPr>
        <w:pStyle w:val="Sinespaciado"/>
        <w:spacing w:line="276" w:lineRule="auto"/>
        <w:jc w:val="both"/>
        <w:rPr>
          <w:rFonts w:ascii="Verdana" w:hAnsi="Verdana"/>
          <w:sz w:val="22"/>
          <w:szCs w:val="22"/>
          <w:lang w:val="es-MX"/>
        </w:rPr>
      </w:pP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a). -</w:t>
      </w:r>
      <w:r w:rsidRPr="00DF5296">
        <w:rPr>
          <w:rFonts w:ascii="Verdana" w:hAnsi="Verdana"/>
          <w:sz w:val="22"/>
          <w:szCs w:val="22"/>
          <w:lang w:val="es-MX"/>
        </w:rPr>
        <w:t xml:space="preserve"> Indica que se presentaron observaciones, algunas de las cuales fueron tomadas en cuenta y acogidas, y otras no</w:t>
      </w:r>
      <w:r>
        <w:rPr>
          <w:rFonts w:ascii="Verdana" w:hAnsi="Verdana"/>
          <w:sz w:val="22"/>
          <w:szCs w:val="22"/>
          <w:lang w:val="es-MX"/>
        </w:rPr>
        <w:t>,</w:t>
      </w:r>
      <w:r w:rsidRPr="00DF5296">
        <w:rPr>
          <w:rFonts w:ascii="Verdana" w:hAnsi="Verdana"/>
          <w:sz w:val="22"/>
          <w:szCs w:val="22"/>
          <w:lang w:val="es-MX"/>
        </w:rPr>
        <w:t xml:space="preserve"> por lo que no conforme con algunos extremos del Manual de Evaluación de la Calidad y en razón de que no acogieron algunas observaciones proceden a </w:t>
      </w:r>
      <w:r>
        <w:rPr>
          <w:rFonts w:ascii="Verdana" w:hAnsi="Verdana"/>
          <w:sz w:val="22"/>
          <w:szCs w:val="22"/>
          <w:lang w:val="es-MX"/>
        </w:rPr>
        <w:t>impugnarlo</w:t>
      </w:r>
      <w:r w:rsidRPr="00DF5296">
        <w:rPr>
          <w:rFonts w:ascii="Verdana" w:hAnsi="Verdana"/>
          <w:sz w:val="22"/>
          <w:szCs w:val="22"/>
          <w:lang w:val="es-MX"/>
        </w:rPr>
        <w:t xml:space="preserve"> de conformidad con las razones de hecho y de derecho que expone.</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b). -</w:t>
      </w:r>
      <w:r w:rsidRPr="00DF5296">
        <w:rPr>
          <w:rFonts w:ascii="Verdana" w:hAnsi="Verdana"/>
          <w:sz w:val="22"/>
          <w:szCs w:val="22"/>
          <w:lang w:val="es-MX"/>
        </w:rPr>
        <w:t xml:space="preserve"> El Manual debe hacer mención a la política de </w:t>
      </w:r>
      <w:r>
        <w:rPr>
          <w:rFonts w:ascii="Verdana" w:hAnsi="Verdana"/>
          <w:sz w:val="22"/>
          <w:szCs w:val="22"/>
          <w:lang w:val="es-MX"/>
        </w:rPr>
        <w:t>calidad sobre la cual se rige</w:t>
      </w:r>
      <w:r w:rsidRPr="00DF5296">
        <w:rPr>
          <w:rFonts w:ascii="Verdana" w:hAnsi="Verdana"/>
          <w:sz w:val="22"/>
          <w:szCs w:val="22"/>
          <w:lang w:val="es-MX"/>
        </w:rPr>
        <w:t xml:space="preserve"> el Consejo de Transporte Público y debe ser lo suficientemente claro para que pueda ser entendido por cualquier persona principalmente los técnicos que harán el estudio, debe contar con un apartado de definiciones dado que hace referencia al Decreto Ejecutivo número 28833-MOPT.</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c).-</w:t>
      </w:r>
      <w:r w:rsidRPr="00DF5296">
        <w:rPr>
          <w:rFonts w:ascii="Verdana" w:hAnsi="Verdana"/>
          <w:sz w:val="22"/>
          <w:szCs w:val="22"/>
          <w:lang w:val="es-MX"/>
        </w:rPr>
        <w:t xml:space="preserve"> </w:t>
      </w:r>
      <w:r w:rsidRPr="00DF5296">
        <w:rPr>
          <w:rFonts w:ascii="Verdana" w:hAnsi="Verdana"/>
          <w:b/>
          <w:sz w:val="22"/>
          <w:szCs w:val="22"/>
          <w:lang w:val="es-MX"/>
        </w:rPr>
        <w:t>El Decreto Ejecutivo número 28833-MOPT en su artículo 16</w:t>
      </w:r>
      <w:r w:rsidRPr="00DF5296">
        <w:rPr>
          <w:rFonts w:ascii="Verdana" w:hAnsi="Verdana"/>
          <w:sz w:val="22"/>
          <w:szCs w:val="22"/>
          <w:lang w:val="es-MX"/>
        </w:rPr>
        <w:t>, hace referencia a que el perito cuenta con 3 meses para entregar el informe técnico una vez realizada la verificación de la calidad, pero en el Manual aprobado no se hace referencia a dicho plazo, plazo que además es improcedente de conformidad con la cantidad de estudios que habría que realizar por año y la poca cantidad de profesionales con conocimientos en la materia que existen, por lo que la Administración debe valorar la posibilidad de reformar el Decreto indicado.</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lastRenderedPageBreak/>
        <w:t>d). -</w:t>
      </w:r>
      <w:r w:rsidRPr="00DF5296">
        <w:rPr>
          <w:rFonts w:ascii="Verdana" w:hAnsi="Verdana"/>
          <w:sz w:val="22"/>
          <w:szCs w:val="22"/>
          <w:lang w:val="es-MX"/>
        </w:rPr>
        <w:t xml:space="preserve"> En cuanto al ítem </w:t>
      </w:r>
      <w:r w:rsidRPr="00DF5296">
        <w:rPr>
          <w:rFonts w:ascii="Verdana" w:hAnsi="Verdana"/>
          <w:b/>
          <w:sz w:val="22"/>
          <w:szCs w:val="22"/>
          <w:lang w:val="es-MX"/>
        </w:rPr>
        <w:t>0.5 Capacitación</w:t>
      </w:r>
      <w:r w:rsidRPr="00DF5296">
        <w:rPr>
          <w:rFonts w:ascii="Verdana" w:hAnsi="Verdana"/>
          <w:sz w:val="22"/>
          <w:szCs w:val="22"/>
          <w:lang w:val="es-MX"/>
        </w:rPr>
        <w:t xml:space="preserve"> la gran mayoría de los conductores ya han sido capacitados y dichos conocimientos no se pierden por lo que es contrario a la razón, la proporcionalidad y la sana critica, solicitar cursos de capacitación cada año</w:t>
      </w:r>
      <w:r>
        <w:rPr>
          <w:rFonts w:ascii="Verdana" w:hAnsi="Verdana"/>
          <w:sz w:val="22"/>
          <w:szCs w:val="22"/>
          <w:lang w:val="es-MX"/>
        </w:rPr>
        <w:t>,</w:t>
      </w:r>
      <w:r w:rsidRPr="00DF5296">
        <w:rPr>
          <w:rFonts w:ascii="Verdana" w:hAnsi="Verdana"/>
          <w:sz w:val="22"/>
          <w:szCs w:val="22"/>
          <w:lang w:val="es-MX"/>
        </w:rPr>
        <w:t xml:space="preserve"> lo lógico sería que se solicite para el nuevo personal de la empresa, que no tenga capacitación previa.</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e). -</w:t>
      </w:r>
      <w:r w:rsidRPr="00DF5296">
        <w:rPr>
          <w:rFonts w:ascii="Verdana" w:hAnsi="Verdana"/>
          <w:sz w:val="22"/>
          <w:szCs w:val="22"/>
          <w:lang w:val="es-MX"/>
        </w:rPr>
        <w:t xml:space="preserve"> En c</w:t>
      </w:r>
      <w:r>
        <w:rPr>
          <w:rFonts w:ascii="Verdana" w:hAnsi="Verdana"/>
          <w:sz w:val="22"/>
          <w:szCs w:val="22"/>
          <w:lang w:val="es-MX"/>
        </w:rPr>
        <w:t>uanto al punto 0.7 Contraloría I</w:t>
      </w:r>
      <w:r w:rsidRPr="00DF5296">
        <w:rPr>
          <w:rFonts w:ascii="Verdana" w:hAnsi="Verdana"/>
          <w:sz w:val="22"/>
          <w:szCs w:val="22"/>
          <w:lang w:val="es-MX"/>
        </w:rPr>
        <w:t>nterna de Servicios de los operadores es necesario claridad en cuanto a los plazos de verificación, presentación y procedimientos a seguir con la información de las quejas y denuncias para la verificación de la calidad.  En cuanto al punto A.3 Calidad de la Vía, no se define como evaluar los tramos de carretera que estén en lastre o en tierra ni el estado de puentes ni de zonas con riesgo de derrumbes; además se deja de lado la seguridad vial correspondiente a las personas que transitan por las vías.</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f). -</w:t>
      </w:r>
      <w:r w:rsidRPr="00DF5296">
        <w:rPr>
          <w:rFonts w:ascii="Verdana" w:hAnsi="Verdana"/>
          <w:sz w:val="22"/>
          <w:szCs w:val="22"/>
          <w:lang w:val="es-MX"/>
        </w:rPr>
        <w:t xml:space="preserve"> En lo que corresponde a los ítems A.5 y A.7 en el borrador sometido a consulta no se otorgó puntaje a dichos rubros y en clara modificación del decreto de reiterada cita se aprueba en ambos ítems un puntaje sin razones o justificaciones técnicas de 3 puntos a cada uno.</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g).-</w:t>
      </w:r>
      <w:r w:rsidRPr="00DF5296">
        <w:rPr>
          <w:rFonts w:ascii="Verdana" w:hAnsi="Verdana"/>
          <w:sz w:val="22"/>
          <w:szCs w:val="22"/>
          <w:lang w:val="es-MX"/>
        </w:rPr>
        <w:t xml:space="preserve"> No están de acuerdo con la forma en que se determina las encuestas a los usuarios pues tal instrumento debe manejarse con sumo cuidado en cuanto a la muestra que se ha de utilizar y los criterios a evaluar en un momento determinado,  pero el punto Criterio del Usuario Tipo U se basa en comparar expectativas de los usuarios en contraposición con la realidad de la empresa y la valoración de las responsabilidades de la  Administración, pero todo en</w:t>
      </w:r>
      <w:r>
        <w:rPr>
          <w:rFonts w:ascii="Verdana" w:hAnsi="Verdana"/>
          <w:sz w:val="22"/>
          <w:szCs w:val="22"/>
          <w:lang w:val="es-MX"/>
        </w:rPr>
        <w:t xml:space="preserve"> un</w:t>
      </w:r>
      <w:r w:rsidRPr="00DF5296">
        <w:rPr>
          <w:rFonts w:ascii="Verdana" w:hAnsi="Verdana"/>
          <w:sz w:val="22"/>
          <w:szCs w:val="22"/>
          <w:lang w:val="es-MX"/>
        </w:rPr>
        <w:t xml:space="preserve"> solo instrumento evaluativo, que no hace una división en cuanto a unos u otros.  En este punto manifiesta la recurrente que la encuesta aprobada peca de segarse hacia una evaluación   de la empresa, lo cual contraría </w:t>
      </w:r>
      <w:r w:rsidRPr="00DF5296">
        <w:rPr>
          <w:rFonts w:ascii="Verdana" w:hAnsi="Verdana"/>
          <w:b/>
          <w:sz w:val="22"/>
          <w:szCs w:val="22"/>
          <w:lang w:val="es-MX"/>
        </w:rPr>
        <w:t xml:space="preserve">El Decreto Ejecutivo número 28833-MOPT, </w:t>
      </w:r>
      <w:r w:rsidRPr="00DF5296">
        <w:rPr>
          <w:rFonts w:ascii="Verdana" w:hAnsi="Verdana"/>
          <w:sz w:val="22"/>
          <w:szCs w:val="22"/>
          <w:lang w:val="es-MX"/>
        </w:rPr>
        <w:t xml:space="preserve"> pues no aplica criterios de evaluación o de medición  objetivos, técnicos y comprobables sino que se basa en un sistema de valoración de opiniones;  además se inventa un mecanismo o criterio evaluativo  de  puntaje global de 4 (80%) que la encuesta no tiene ni lo autoriza el decreto referido, lo que constituye una extralimitación de funciones del Consejo y que violenta la norma reglamentaria.</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h). -</w:t>
      </w:r>
      <w:r w:rsidRPr="00DF5296">
        <w:rPr>
          <w:rFonts w:ascii="Verdana" w:hAnsi="Verdana"/>
          <w:sz w:val="22"/>
          <w:szCs w:val="22"/>
          <w:lang w:val="es-MX"/>
        </w:rPr>
        <w:t xml:space="preserve"> No puede obligarse a los operadores del servicio de transporte público a cubrir de su peculio los estudios anuales de </w:t>
      </w:r>
      <w:r>
        <w:rPr>
          <w:rFonts w:ascii="Verdana" w:hAnsi="Verdana"/>
          <w:sz w:val="22"/>
          <w:szCs w:val="22"/>
          <w:lang w:val="es-MX"/>
        </w:rPr>
        <w:t>e</w:t>
      </w:r>
      <w:r w:rsidRPr="00DF5296">
        <w:rPr>
          <w:rFonts w:ascii="Verdana" w:hAnsi="Verdana"/>
          <w:sz w:val="22"/>
          <w:szCs w:val="22"/>
          <w:lang w:val="es-MX"/>
        </w:rPr>
        <w:t>valuación de la calidad, menos aun cuando éstos por Ley corresponde a la Administración hasta tanto no se consideren los costos tarifarios como lo establecen los artículos 30 y 31 de la Le</w:t>
      </w:r>
      <w:r>
        <w:rPr>
          <w:rFonts w:ascii="Verdana" w:hAnsi="Verdana"/>
          <w:sz w:val="22"/>
          <w:szCs w:val="22"/>
          <w:lang w:val="es-MX"/>
        </w:rPr>
        <w:t>y 3503 y el artículo 31 de la Le</w:t>
      </w:r>
      <w:r w:rsidRPr="00DF5296">
        <w:rPr>
          <w:rFonts w:ascii="Verdana" w:hAnsi="Verdana"/>
          <w:sz w:val="22"/>
          <w:szCs w:val="22"/>
          <w:lang w:val="es-MX"/>
        </w:rPr>
        <w:t xml:space="preserve">y 7593, pues de lo contrario se estaría ante una actuación irracional y desproporcionada de la Administración.  Por otro lado, la Administración no indica norma que la habilite para establecer como </w:t>
      </w:r>
      <w:r>
        <w:rPr>
          <w:rFonts w:ascii="Verdana" w:hAnsi="Verdana"/>
          <w:sz w:val="22"/>
          <w:szCs w:val="22"/>
          <w:lang w:val="es-MX"/>
        </w:rPr>
        <w:t>nota mínima de e</w:t>
      </w:r>
      <w:r w:rsidRPr="00DF5296">
        <w:rPr>
          <w:rFonts w:ascii="Verdana" w:hAnsi="Verdana"/>
          <w:sz w:val="22"/>
          <w:szCs w:val="22"/>
          <w:lang w:val="es-MX"/>
        </w:rPr>
        <w:t xml:space="preserve">valuación la calificación de 85 puntos pues tanto la costumbre como la Ley número 8826 que regula el Proceso Abreviado de Permisos a Concesiones establece un parámetro de calificación de 80 como nota mínima.  </w:t>
      </w:r>
      <w:r w:rsidRPr="00DF5296">
        <w:rPr>
          <w:rFonts w:ascii="Verdana" w:hAnsi="Verdana"/>
          <w:b/>
          <w:sz w:val="22"/>
          <w:szCs w:val="22"/>
          <w:lang w:val="es-MX"/>
        </w:rPr>
        <w:t xml:space="preserve">El Decreto Ejecutivo número 28833-MOPT en su artículo 14, </w:t>
      </w:r>
      <w:r w:rsidRPr="00DF5296">
        <w:rPr>
          <w:rFonts w:ascii="Verdana" w:hAnsi="Verdana"/>
          <w:sz w:val="22"/>
          <w:szCs w:val="22"/>
          <w:lang w:val="es-MX"/>
        </w:rPr>
        <w:t xml:space="preserve">establece calificaciones que van de muy bueno, bueno, regular y muy </w:t>
      </w:r>
      <w:r w:rsidRPr="00DF5296">
        <w:rPr>
          <w:rFonts w:ascii="Verdana" w:hAnsi="Verdana"/>
          <w:sz w:val="22"/>
          <w:szCs w:val="22"/>
          <w:lang w:val="es-MX"/>
        </w:rPr>
        <w:lastRenderedPageBreak/>
        <w:t>malo, pero la Administración sin sustento reglamentario establece en el manual la calificación de excelente valorada con puntaje de 100-96.</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i). -</w:t>
      </w:r>
      <w:r w:rsidRPr="00DF5296">
        <w:rPr>
          <w:rFonts w:ascii="Verdana" w:hAnsi="Verdana"/>
          <w:sz w:val="22"/>
          <w:szCs w:val="22"/>
          <w:lang w:val="es-MX"/>
        </w:rPr>
        <w:t xml:space="preserve"> El acto recurrido está viciado de nulidad</w:t>
      </w:r>
      <w:r>
        <w:rPr>
          <w:rFonts w:ascii="Verdana" w:hAnsi="Verdana"/>
          <w:sz w:val="22"/>
          <w:szCs w:val="22"/>
          <w:lang w:val="es-MX"/>
        </w:rPr>
        <w:t xml:space="preserve"> por vicios en el m</w:t>
      </w:r>
      <w:r w:rsidRPr="00DF5296">
        <w:rPr>
          <w:rFonts w:ascii="Verdana" w:hAnsi="Verdana"/>
          <w:sz w:val="22"/>
          <w:szCs w:val="22"/>
          <w:lang w:val="es-MX"/>
        </w:rPr>
        <w:t>otivo y el contenido, de conformidad con lo expuesto en el recurso, contrariándose los numerales 132 y 133 de la Ley General de la Administ</w:t>
      </w:r>
      <w:r>
        <w:rPr>
          <w:rFonts w:ascii="Verdana" w:hAnsi="Verdana"/>
          <w:sz w:val="22"/>
          <w:szCs w:val="22"/>
          <w:lang w:val="es-MX"/>
        </w:rPr>
        <w:t>ración Pública. Lo anterior porque</w:t>
      </w:r>
      <w:r w:rsidRPr="00DF5296">
        <w:rPr>
          <w:rFonts w:ascii="Verdana" w:hAnsi="Verdana"/>
          <w:sz w:val="22"/>
          <w:szCs w:val="22"/>
          <w:lang w:val="es-MX"/>
        </w:rPr>
        <w:t xml:space="preserve"> omite los procedimientos o parámetros de medición para la validación en campo de la información obtenida por medios electrónicos;  se exige una puntuación de 86 puntos contrario a la norma reglamentaria y la costumbre en violación a los artículos 6 y 10 de la Ley  General de la Administración Pública, se realizaron una serie de obse</w:t>
      </w:r>
      <w:r>
        <w:rPr>
          <w:rFonts w:ascii="Verdana" w:hAnsi="Verdana"/>
          <w:sz w:val="22"/>
          <w:szCs w:val="22"/>
          <w:lang w:val="es-MX"/>
        </w:rPr>
        <w:t>rvaciones y el Consejo no brindó</w:t>
      </w:r>
      <w:r w:rsidRPr="00DF5296">
        <w:rPr>
          <w:rFonts w:ascii="Verdana" w:hAnsi="Verdana"/>
          <w:sz w:val="22"/>
          <w:szCs w:val="22"/>
          <w:lang w:val="es-MX"/>
        </w:rPr>
        <w:t xml:space="preserve"> ninguna explicación para su exclusión entre otros puntos ya indicados con anterioridad, lo que de conformidad con los numerales 158, 162 y 166 de la Ley General de la Administración Pública el acto es nulo y así debe declarase, además de la violación a normas que regulan la discrecionalidad administrativa artículos 11, 15 y 16 de la LAGP y jurisprudencia tanto administrativa de la Procuraduría General de la República como de los Tribunales de Justicia.</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j). -</w:t>
      </w:r>
      <w:r w:rsidRPr="00DF5296">
        <w:rPr>
          <w:rFonts w:ascii="Verdana" w:hAnsi="Verdana"/>
          <w:sz w:val="22"/>
          <w:szCs w:val="22"/>
          <w:lang w:val="es-MX"/>
        </w:rPr>
        <w:t xml:space="preserve"> Solicita se declare con lugar el presente recurso y se anule el acuerdo impugnado.</w:t>
      </w:r>
    </w:p>
    <w:p w:rsidR="00355FEB" w:rsidRPr="00DF5296" w:rsidRDefault="00355FEB" w:rsidP="00355FEB">
      <w:pPr>
        <w:pStyle w:val="Sinespaciado"/>
        <w:spacing w:line="276" w:lineRule="auto"/>
        <w:jc w:val="both"/>
        <w:rPr>
          <w:rFonts w:ascii="Verdana" w:hAnsi="Verdana"/>
          <w:b/>
          <w:sz w:val="22"/>
          <w:szCs w:val="22"/>
          <w:lang w:val="es-MX"/>
        </w:rPr>
      </w:pP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TERCERO:</w:t>
      </w:r>
      <w:r w:rsidRPr="00DF5296">
        <w:rPr>
          <w:rFonts w:ascii="Verdana" w:hAnsi="Verdana"/>
          <w:sz w:val="22"/>
          <w:szCs w:val="22"/>
          <w:lang w:val="es-MX"/>
        </w:rPr>
        <w:t xml:space="preserve"> La Junta Directiva del Consejo de Transporte Público mediante su </w:t>
      </w:r>
      <w:r w:rsidRPr="00DF5296">
        <w:rPr>
          <w:rFonts w:ascii="Verdana" w:hAnsi="Verdana"/>
          <w:b/>
          <w:sz w:val="22"/>
          <w:szCs w:val="22"/>
          <w:lang w:val="es-MX"/>
        </w:rPr>
        <w:t>Acuerdo número 7.5.6 de la Sesión Ordinaria No. 25-2016 de 12 de mayo de 2016</w:t>
      </w:r>
      <w:r w:rsidRPr="00DF5296">
        <w:rPr>
          <w:rFonts w:ascii="Verdana" w:hAnsi="Verdana"/>
          <w:sz w:val="22"/>
          <w:szCs w:val="22"/>
          <w:lang w:val="es-MX"/>
        </w:rPr>
        <w:t xml:space="preserve">, acoge el informe de la Dirección de Asuntos Jurídicos </w:t>
      </w:r>
      <w:r w:rsidRPr="00DF5296">
        <w:rPr>
          <w:rFonts w:ascii="Verdana" w:hAnsi="Verdana"/>
          <w:b/>
          <w:sz w:val="22"/>
          <w:szCs w:val="22"/>
          <w:lang w:val="es-MX"/>
        </w:rPr>
        <w:t>DAJ-2016001612 de 5 de mayo de 2016</w:t>
      </w:r>
      <w:r w:rsidRPr="00DF5296">
        <w:rPr>
          <w:rFonts w:ascii="Verdana" w:hAnsi="Verdana"/>
          <w:sz w:val="22"/>
          <w:szCs w:val="22"/>
          <w:lang w:val="es-MX"/>
        </w:rPr>
        <w:t xml:space="preserve"> y acuerda rechazar el Recurso de Revocatoria y la Acción de Nulidad interpuestos por improcedentes, por cuanto lo actuado por el Consejo de Transporte Público no solo se encuentra dentro de sus potestades legales, sino que se ha cumplido con lo que el ordenamiento jurídico dispone y la misma jurisprudencia del Tribunal Administrativo de Transporte; así mismo en cuanto a la Nulidad invocada, la misma es inexistente dado que el acto cumple con todos los elementos esenciales del mismo y no se vislumbra vicio alguno.(Léanse folios del 1 al 8 del expediente administrativo).</w:t>
      </w:r>
    </w:p>
    <w:p w:rsidR="00355FEB" w:rsidRPr="00DF5296" w:rsidRDefault="00355FEB" w:rsidP="00355FEB">
      <w:pPr>
        <w:pStyle w:val="Sinespaciado"/>
        <w:spacing w:line="276" w:lineRule="auto"/>
        <w:jc w:val="both"/>
        <w:rPr>
          <w:rFonts w:ascii="Verdana" w:hAnsi="Verdana"/>
          <w:b/>
          <w:sz w:val="22"/>
          <w:szCs w:val="22"/>
          <w:lang w:val="es-MX"/>
        </w:rPr>
      </w:pP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CUARTO:</w:t>
      </w:r>
      <w:r w:rsidRPr="00DF5296">
        <w:rPr>
          <w:rFonts w:ascii="Verdana" w:hAnsi="Verdana"/>
          <w:sz w:val="22"/>
          <w:szCs w:val="22"/>
          <w:lang w:val="es-MX"/>
        </w:rPr>
        <w:tab/>
        <w:t>La recurrente en respuesta a prevención que le hiciera este Tribunal Administrativo de Transporte, se apersona el día 16 de junio de 2016, y manifiesta en lo conducente que reitera los argumentos expuestos en el Recurso de Apelación presentado. (Léanse folios 75 y 76 del expediente administrativo)</w:t>
      </w:r>
    </w:p>
    <w:p w:rsidR="00355FEB" w:rsidRPr="00DF5296" w:rsidRDefault="00355FEB" w:rsidP="00355FEB">
      <w:pPr>
        <w:pStyle w:val="Sinespaciado"/>
        <w:spacing w:line="276" w:lineRule="auto"/>
        <w:jc w:val="both"/>
        <w:rPr>
          <w:rFonts w:ascii="Verdana" w:hAnsi="Verdana"/>
          <w:sz w:val="22"/>
          <w:szCs w:val="22"/>
          <w:lang w:val="es-MX"/>
        </w:rPr>
      </w:pP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 xml:space="preserve">QUINTO: </w:t>
      </w:r>
      <w:r w:rsidRPr="00DF5296">
        <w:rPr>
          <w:rFonts w:ascii="Verdana" w:hAnsi="Verdana"/>
          <w:sz w:val="22"/>
          <w:szCs w:val="22"/>
          <w:lang w:val="es-MX"/>
        </w:rPr>
        <w:t>En los procedimientos se han observado las prescripciones legales.</w:t>
      </w:r>
    </w:p>
    <w:p w:rsidR="00355FEB" w:rsidRPr="00DF5296" w:rsidRDefault="00355FEB" w:rsidP="00355FEB">
      <w:pPr>
        <w:pStyle w:val="Sinespaciado"/>
        <w:spacing w:line="276" w:lineRule="auto"/>
        <w:jc w:val="both"/>
        <w:rPr>
          <w:rFonts w:ascii="Verdana" w:hAnsi="Verdana"/>
          <w:sz w:val="22"/>
          <w:szCs w:val="22"/>
          <w:lang w:val="es-MX"/>
        </w:rPr>
      </w:pPr>
    </w:p>
    <w:p w:rsidR="00355FEB" w:rsidRPr="00DF5296" w:rsidRDefault="00355FEB" w:rsidP="00355FEB">
      <w:pPr>
        <w:pStyle w:val="Sinespaciado"/>
        <w:jc w:val="both"/>
        <w:rPr>
          <w:rFonts w:ascii="Verdana" w:hAnsi="Verdana"/>
          <w:b/>
          <w:i/>
          <w:sz w:val="22"/>
          <w:szCs w:val="22"/>
          <w:lang w:val="es-MX"/>
        </w:rPr>
      </w:pPr>
    </w:p>
    <w:p w:rsidR="00355FEB" w:rsidRPr="00DF5296" w:rsidRDefault="00355FEB" w:rsidP="00355FEB">
      <w:pPr>
        <w:pStyle w:val="Sinespaciado"/>
        <w:jc w:val="both"/>
        <w:rPr>
          <w:rFonts w:ascii="Verdana" w:hAnsi="Verdana"/>
          <w:b/>
          <w:i/>
          <w:sz w:val="22"/>
          <w:szCs w:val="22"/>
          <w:lang w:val="es-MX"/>
        </w:rPr>
      </w:pPr>
      <w:r w:rsidRPr="00DF5296">
        <w:rPr>
          <w:rFonts w:ascii="Verdana" w:hAnsi="Verdana"/>
          <w:b/>
          <w:i/>
          <w:sz w:val="22"/>
          <w:szCs w:val="22"/>
          <w:lang w:val="es-MX"/>
        </w:rPr>
        <w:t>REDACTA LA JUEZ PÉREZ PELAÉZ y,</w:t>
      </w:r>
    </w:p>
    <w:p w:rsidR="00355FEB" w:rsidRPr="00DF5296" w:rsidRDefault="00355FEB" w:rsidP="00355FEB">
      <w:pPr>
        <w:pStyle w:val="Sinespaciado"/>
        <w:rPr>
          <w:rFonts w:ascii="Verdana" w:hAnsi="Verdana"/>
          <w:sz w:val="22"/>
          <w:szCs w:val="22"/>
        </w:rPr>
      </w:pPr>
    </w:p>
    <w:p w:rsidR="00355FEB" w:rsidRPr="00DF5296" w:rsidRDefault="00355FEB" w:rsidP="00355FEB">
      <w:pPr>
        <w:pStyle w:val="Sinespaciado"/>
        <w:jc w:val="center"/>
        <w:rPr>
          <w:rFonts w:ascii="Verdana" w:hAnsi="Verdana"/>
          <w:b/>
          <w:sz w:val="22"/>
          <w:szCs w:val="22"/>
          <w:lang w:val="es-MX"/>
        </w:rPr>
      </w:pPr>
    </w:p>
    <w:p w:rsidR="00355FEB" w:rsidRPr="00DF5296" w:rsidRDefault="00355FEB" w:rsidP="00355FEB">
      <w:pPr>
        <w:pStyle w:val="Sinespaciado"/>
        <w:jc w:val="center"/>
        <w:rPr>
          <w:rFonts w:ascii="Verdana" w:hAnsi="Verdana"/>
          <w:b/>
          <w:sz w:val="22"/>
          <w:szCs w:val="22"/>
          <w:lang w:val="es-MX"/>
        </w:rPr>
      </w:pPr>
      <w:r w:rsidRPr="00DF5296">
        <w:rPr>
          <w:rFonts w:ascii="Verdana" w:hAnsi="Verdana"/>
          <w:b/>
          <w:sz w:val="22"/>
          <w:szCs w:val="22"/>
          <w:lang w:val="es-MX"/>
        </w:rPr>
        <w:t>CONSIDERANDO</w:t>
      </w:r>
    </w:p>
    <w:p w:rsidR="00355FEB" w:rsidRPr="00DF5296" w:rsidRDefault="00355FEB" w:rsidP="00355FEB">
      <w:pPr>
        <w:pStyle w:val="Sinespaciado"/>
        <w:rPr>
          <w:rFonts w:ascii="Verdana" w:hAnsi="Verdana"/>
          <w:sz w:val="22"/>
          <w:szCs w:val="22"/>
        </w:rPr>
      </w:pPr>
    </w:p>
    <w:p w:rsidR="00355FEB" w:rsidRPr="00DF5296" w:rsidRDefault="00355FEB" w:rsidP="00355FEB">
      <w:pPr>
        <w:pStyle w:val="Sinespaciado"/>
        <w:jc w:val="both"/>
        <w:rPr>
          <w:rFonts w:ascii="Verdana" w:hAnsi="Verdana"/>
          <w:sz w:val="22"/>
          <w:szCs w:val="22"/>
          <w:lang w:val="es-MX"/>
        </w:rPr>
      </w:pPr>
    </w:p>
    <w:p w:rsidR="00355FEB" w:rsidRPr="00DF5296" w:rsidRDefault="00355FEB" w:rsidP="00355FEB">
      <w:pPr>
        <w:pStyle w:val="Sinespaciado"/>
        <w:spacing w:line="276" w:lineRule="auto"/>
        <w:jc w:val="both"/>
        <w:rPr>
          <w:rFonts w:ascii="Verdana" w:hAnsi="Verdana"/>
          <w:b/>
          <w:sz w:val="22"/>
          <w:szCs w:val="22"/>
        </w:rPr>
      </w:pPr>
      <w:r w:rsidRPr="00DF5296">
        <w:rPr>
          <w:rFonts w:ascii="Verdana" w:hAnsi="Verdana"/>
          <w:b/>
          <w:sz w:val="22"/>
          <w:szCs w:val="22"/>
        </w:rPr>
        <w:t>1.-</w:t>
      </w:r>
      <w:r w:rsidRPr="00DF5296">
        <w:rPr>
          <w:rFonts w:ascii="Verdana" w:hAnsi="Verdana"/>
          <w:b/>
          <w:sz w:val="22"/>
          <w:szCs w:val="22"/>
        </w:rPr>
        <w:tab/>
        <w:t>SOBRE LA COMPETENCIA:</w:t>
      </w:r>
      <w:r w:rsidRPr="00DF5296">
        <w:rPr>
          <w:rFonts w:ascii="Verdana" w:hAnsi="Verdana"/>
          <w:sz w:val="22"/>
          <w:szCs w:val="22"/>
        </w:rPr>
        <w:t xml:space="preserve">  </w:t>
      </w:r>
      <w:r w:rsidRPr="00DF5296">
        <w:rPr>
          <w:rFonts w:ascii="Verdana" w:hAnsi="Verdana"/>
          <w:b/>
          <w:sz w:val="22"/>
          <w:szCs w:val="22"/>
        </w:rPr>
        <w:t xml:space="preserve"> </w:t>
      </w:r>
      <w:r w:rsidRPr="00DF5296">
        <w:rPr>
          <w:rFonts w:ascii="Verdana" w:hAnsi="Verdana"/>
          <w:sz w:val="22"/>
          <w:szCs w:val="22"/>
        </w:rPr>
        <w:t xml:space="preserve">El Tribunal Administrativo de Transporte es el órgano competente para conocer y resolver el presente </w:t>
      </w:r>
      <w:r w:rsidRPr="00DF5296">
        <w:rPr>
          <w:rFonts w:ascii="Verdana" w:hAnsi="Verdana"/>
          <w:b/>
          <w:smallCaps/>
          <w:sz w:val="22"/>
          <w:szCs w:val="22"/>
        </w:rPr>
        <w:t>recurso de apelación</w:t>
      </w:r>
      <w:r w:rsidRPr="00DF5296">
        <w:rPr>
          <w:rFonts w:ascii="Verdana" w:hAnsi="Verdana"/>
          <w:smallCaps/>
          <w:sz w:val="22"/>
          <w:szCs w:val="22"/>
        </w:rPr>
        <w:t xml:space="preserve"> </w:t>
      </w:r>
      <w:r w:rsidRPr="00DF5296">
        <w:rPr>
          <w:rFonts w:ascii="Verdana" w:hAnsi="Verdana"/>
          <w:sz w:val="22"/>
          <w:szCs w:val="22"/>
        </w:rPr>
        <w:t>de conformidad con el Artículo 22 de la Ley Reguladora del Servicio Público de Transporte Remunerado de Personas en Vehículos en la Modalidad de Taxi, No. 7969 de 22 de diciembre de 1999; así como de la Incidencia de Nulidad presentada concomitantemente, de conformidad con lo dispuesto en la Ley General de la Administración Pública. -</w:t>
      </w:r>
    </w:p>
    <w:p w:rsidR="00355FEB" w:rsidRPr="00DF5296" w:rsidRDefault="00355FEB" w:rsidP="00355FEB">
      <w:pPr>
        <w:pStyle w:val="Sinespaciado"/>
        <w:spacing w:line="276" w:lineRule="auto"/>
        <w:jc w:val="both"/>
        <w:rPr>
          <w:rFonts w:ascii="Verdana" w:hAnsi="Verdana"/>
          <w:b/>
          <w:sz w:val="22"/>
          <w:szCs w:val="22"/>
        </w:rPr>
      </w:pPr>
    </w:p>
    <w:p w:rsidR="00355FEB" w:rsidRPr="00DF5296" w:rsidRDefault="00355FEB" w:rsidP="00355FEB">
      <w:pPr>
        <w:jc w:val="both"/>
        <w:rPr>
          <w:rFonts w:ascii="Verdana" w:hAnsi="Verdana"/>
          <w:sz w:val="22"/>
          <w:szCs w:val="22"/>
        </w:rPr>
      </w:pPr>
      <w:r w:rsidRPr="00DF5296">
        <w:rPr>
          <w:rFonts w:ascii="Verdana" w:hAnsi="Verdana"/>
          <w:b/>
          <w:sz w:val="22"/>
          <w:szCs w:val="22"/>
        </w:rPr>
        <w:t xml:space="preserve">2.- </w:t>
      </w:r>
      <w:r w:rsidRPr="00DF5296">
        <w:rPr>
          <w:rFonts w:ascii="Verdana" w:hAnsi="Verdana"/>
          <w:b/>
          <w:sz w:val="22"/>
          <w:szCs w:val="22"/>
        </w:rPr>
        <w:tab/>
        <w:t xml:space="preserve">SOBRE LA ADMISIBILIDAD DEL RECURSO: </w:t>
      </w:r>
      <w:r w:rsidRPr="00DF5296">
        <w:rPr>
          <w:rFonts w:ascii="Verdana" w:hAnsi="Verdana"/>
          <w:b/>
          <w:sz w:val="22"/>
          <w:szCs w:val="22"/>
          <w:u w:val="single"/>
        </w:rPr>
        <w:t>En cuanto a la Legitimación</w:t>
      </w:r>
      <w:r w:rsidRPr="00DF5296">
        <w:rPr>
          <w:rFonts w:ascii="Verdana" w:hAnsi="Verdana"/>
          <w:b/>
          <w:sz w:val="22"/>
          <w:szCs w:val="22"/>
        </w:rPr>
        <w:t xml:space="preserve">: </w:t>
      </w:r>
      <w:r w:rsidRPr="00DF5296">
        <w:rPr>
          <w:rFonts w:ascii="Verdana" w:hAnsi="Verdana"/>
          <w:sz w:val="22"/>
          <w:szCs w:val="22"/>
          <w:lang w:val="es-MX"/>
        </w:rPr>
        <w:t xml:space="preserve">La Junta Directiva del Consejo de Transporte Público, mediante </w:t>
      </w:r>
      <w:r w:rsidRPr="00DF5296">
        <w:rPr>
          <w:rFonts w:ascii="Verdana" w:hAnsi="Verdana" w:cs="Arial"/>
          <w:b/>
          <w:sz w:val="22"/>
          <w:szCs w:val="22"/>
        </w:rPr>
        <w:t>Artículo 7.2 de la Sesión Ordinaria 44-2015, de la Junta Directiva del Consejo de Transporte Público</w:t>
      </w:r>
      <w:r w:rsidRPr="00DF5296">
        <w:rPr>
          <w:rFonts w:ascii="Verdana" w:hAnsi="Verdana"/>
          <w:sz w:val="22"/>
          <w:szCs w:val="22"/>
          <w:lang w:val="es-MX"/>
        </w:rPr>
        <w:t xml:space="preserve">, dispuso aprobar el </w:t>
      </w:r>
      <w:r w:rsidRPr="00DF5296">
        <w:rPr>
          <w:rFonts w:ascii="Verdana" w:hAnsi="Verdana"/>
          <w:b/>
          <w:sz w:val="22"/>
          <w:szCs w:val="22"/>
          <w:lang w:val="es-MX"/>
        </w:rPr>
        <w:t xml:space="preserve">“MANUAL PARA LA EVALUACIÓN Y CALIFICACIÓN DE LA CALIDAD DEL SERVICIO PUBLICO DE TRANSPORTE REMUNERADO DE PERSONAS” </w:t>
      </w:r>
      <w:r w:rsidRPr="00DF5296">
        <w:rPr>
          <w:rFonts w:ascii="Verdana" w:hAnsi="Verdana"/>
          <w:sz w:val="22"/>
          <w:szCs w:val="22"/>
          <w:lang w:val="es-MX"/>
        </w:rPr>
        <w:t>siendo</w:t>
      </w:r>
      <w:r w:rsidRPr="00DF5296">
        <w:rPr>
          <w:rFonts w:ascii="Verdana" w:hAnsi="Verdana"/>
          <w:sz w:val="22"/>
          <w:szCs w:val="22"/>
        </w:rPr>
        <w:t xml:space="preserve"> la recurrente concesionario del servicio público de transporte remunerado de personas en la modalidad autobús y por lo tanto sujeto de aplicación del referido manual, </w:t>
      </w:r>
      <w:r w:rsidRPr="00DF5296">
        <w:rPr>
          <w:rFonts w:ascii="Verdana" w:hAnsi="Verdana" w:cs="Arial"/>
          <w:sz w:val="22"/>
          <w:szCs w:val="22"/>
        </w:rPr>
        <w:t xml:space="preserve">cuenta con la Legitimación suficiente para actuar en el presente asunto.  </w:t>
      </w:r>
      <w:r w:rsidRPr="00DF5296">
        <w:rPr>
          <w:rFonts w:ascii="Verdana" w:hAnsi="Verdana"/>
          <w:b/>
          <w:sz w:val="22"/>
          <w:szCs w:val="22"/>
          <w:u w:val="single"/>
        </w:rPr>
        <w:t>En cuanto al plazo:</w:t>
      </w:r>
      <w:r w:rsidRPr="00DF5296">
        <w:rPr>
          <w:rFonts w:ascii="Verdana" w:hAnsi="Verdana"/>
          <w:sz w:val="22"/>
          <w:szCs w:val="22"/>
        </w:rPr>
        <w:t xml:space="preserve"> Conforme al estudio efectuado, el </w:t>
      </w:r>
      <w:r w:rsidRPr="00DF5296">
        <w:rPr>
          <w:rFonts w:ascii="Verdana" w:hAnsi="Verdana"/>
          <w:smallCaps/>
          <w:sz w:val="22"/>
          <w:szCs w:val="22"/>
        </w:rPr>
        <w:t>Recurso de Apelación</w:t>
      </w:r>
      <w:r w:rsidRPr="00DF5296">
        <w:rPr>
          <w:rFonts w:ascii="Verdana" w:hAnsi="Verdana"/>
          <w:sz w:val="22"/>
          <w:szCs w:val="22"/>
        </w:rPr>
        <w:t xml:space="preserve"> se tiene por  presentado dentro del plazo legal establecido para tal fin, en los términos del artículo 11 de la Ley Reguladora  del  Servicio Público de Transporte Remunerado de Personas en Vehículos en la Modalidad de Taxi, Ley N°7969, del 28 de enero del 2000, toda vez según lo indicado por el CTP fue notificación a la recurrente del acto impugnado, el 3 de agosto  de 2015 por medio de correo electrónico y el Recurso se presentó el 10 del mismo mes y año.  </w:t>
      </w:r>
    </w:p>
    <w:p w:rsidR="00355FEB" w:rsidRPr="00DF5296" w:rsidRDefault="00355FEB" w:rsidP="00355FEB">
      <w:pPr>
        <w:jc w:val="both"/>
        <w:rPr>
          <w:rFonts w:ascii="Verdana" w:hAnsi="Verdana"/>
          <w:sz w:val="22"/>
          <w:szCs w:val="22"/>
        </w:rPr>
      </w:pP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rPr>
        <w:t>3.- HECHOS PROBADOS DE IMPORTANCIA PARA ESTE ASUNTO:</w:t>
      </w:r>
      <w:r w:rsidRPr="00DF5296">
        <w:rPr>
          <w:rFonts w:ascii="Verdana" w:hAnsi="Verdana"/>
          <w:sz w:val="22"/>
          <w:szCs w:val="22"/>
        </w:rPr>
        <w:t xml:space="preserve"> </w:t>
      </w:r>
      <w:r w:rsidRPr="00DF5296">
        <w:rPr>
          <w:rFonts w:ascii="Verdana" w:hAnsi="Verdana"/>
          <w:b/>
          <w:sz w:val="22"/>
          <w:szCs w:val="22"/>
        </w:rPr>
        <w:t>A). -</w:t>
      </w:r>
      <w:r w:rsidRPr="00DF5296">
        <w:rPr>
          <w:rFonts w:ascii="Verdana" w:hAnsi="Verdana"/>
          <w:sz w:val="22"/>
          <w:szCs w:val="22"/>
        </w:rPr>
        <w:t xml:space="preserve"> </w:t>
      </w:r>
      <w:r w:rsidRPr="00DF5296">
        <w:rPr>
          <w:rFonts w:ascii="Verdana" w:hAnsi="Verdana"/>
          <w:sz w:val="22"/>
          <w:szCs w:val="22"/>
          <w:lang w:val="es-MX"/>
        </w:rPr>
        <w:t xml:space="preserve">La Junta Directiva del Consejo de Transporte Público, mediante </w:t>
      </w:r>
      <w:r w:rsidRPr="00DF5296">
        <w:rPr>
          <w:rFonts w:ascii="Verdana" w:hAnsi="Verdana" w:cs="Arial"/>
          <w:b/>
          <w:sz w:val="22"/>
          <w:szCs w:val="22"/>
        </w:rPr>
        <w:t>Artículo 7.2 de la Sesión Ordinaria 44-2015 del 30 de julio de 2015</w:t>
      </w:r>
      <w:r w:rsidRPr="00DF5296">
        <w:rPr>
          <w:rFonts w:ascii="Verdana" w:hAnsi="Verdana"/>
          <w:sz w:val="22"/>
          <w:szCs w:val="22"/>
          <w:lang w:val="es-MX"/>
        </w:rPr>
        <w:t xml:space="preserve">, dispuso aprobar el </w:t>
      </w:r>
      <w:r w:rsidRPr="00DF5296">
        <w:rPr>
          <w:rFonts w:ascii="Verdana" w:hAnsi="Verdana"/>
          <w:b/>
          <w:sz w:val="22"/>
          <w:szCs w:val="22"/>
          <w:lang w:val="es-MX"/>
        </w:rPr>
        <w:t>“MANUAL PARA LA EVALUACIÓN Y CALIFICACIÓN DE LA CALIDAD DEL SERVICIO PUBLICO DE TRANSPORTE REMUNERADO DE PERSONAS”</w:t>
      </w:r>
      <w:r w:rsidRPr="00DF5296">
        <w:rPr>
          <w:rFonts w:ascii="Verdana" w:hAnsi="Verdana"/>
          <w:sz w:val="22"/>
          <w:szCs w:val="22"/>
          <w:lang w:val="es-MX"/>
        </w:rPr>
        <w:t>. (Léanse folios del 31 al 67 del expediente administrativo).</w:t>
      </w:r>
    </w:p>
    <w:p w:rsidR="00355FEB" w:rsidRPr="00DF5296" w:rsidRDefault="00355FEB" w:rsidP="00355FEB">
      <w:pPr>
        <w:pStyle w:val="Sinespaciado"/>
        <w:spacing w:line="276" w:lineRule="auto"/>
        <w:jc w:val="both"/>
        <w:rPr>
          <w:rFonts w:ascii="Verdana" w:hAnsi="Verdana"/>
          <w:b/>
          <w:sz w:val="22"/>
          <w:szCs w:val="22"/>
        </w:rPr>
      </w:pP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rPr>
        <w:t xml:space="preserve">B). - </w:t>
      </w:r>
      <w:r w:rsidRPr="00DF5296">
        <w:rPr>
          <w:rFonts w:ascii="Verdana" w:hAnsi="Verdana"/>
          <w:b/>
          <w:sz w:val="22"/>
          <w:szCs w:val="22"/>
          <w:lang w:val="es-MX"/>
        </w:rPr>
        <w:t>La recurrente</w:t>
      </w:r>
      <w:r w:rsidRPr="00DF5296">
        <w:rPr>
          <w:rFonts w:ascii="Verdana" w:hAnsi="Verdana" w:cs="Arial"/>
          <w:sz w:val="22"/>
          <w:szCs w:val="22"/>
        </w:rPr>
        <w:t xml:space="preserve"> la empresa </w:t>
      </w:r>
      <w:r w:rsidR="009B1279">
        <w:rPr>
          <w:rFonts w:ascii="Verdana" w:hAnsi="Verdana" w:cs="Arial"/>
          <w:b/>
          <w:sz w:val="22"/>
          <w:szCs w:val="22"/>
        </w:rPr>
        <w:t>C.A.S.</w:t>
      </w:r>
      <w:r w:rsidRPr="00DF5296">
        <w:rPr>
          <w:rFonts w:ascii="Verdana" w:hAnsi="Verdana" w:cs="Arial"/>
          <w:b/>
          <w:sz w:val="22"/>
          <w:szCs w:val="22"/>
        </w:rPr>
        <w:t xml:space="preserve">, </w:t>
      </w:r>
      <w:r w:rsidRPr="00DF5296">
        <w:rPr>
          <w:rFonts w:ascii="Verdana" w:hAnsi="Verdana" w:cs="Arial"/>
          <w:sz w:val="22"/>
          <w:szCs w:val="22"/>
        </w:rPr>
        <w:t xml:space="preserve">impugna el </w:t>
      </w:r>
      <w:r w:rsidRPr="00DF5296">
        <w:rPr>
          <w:rFonts w:ascii="Verdana" w:hAnsi="Verdana" w:cs="Arial"/>
          <w:b/>
          <w:sz w:val="22"/>
          <w:szCs w:val="22"/>
        </w:rPr>
        <w:t>Artículo 7.2 de la Sesión Ordinaria 44-2015, de la Junta Directiva del Consejo de Transporte Público,</w:t>
      </w:r>
      <w:r w:rsidRPr="00DF5296">
        <w:rPr>
          <w:rFonts w:ascii="Verdana" w:hAnsi="Verdana" w:cs="Arial"/>
          <w:sz w:val="22"/>
          <w:szCs w:val="22"/>
        </w:rPr>
        <w:t xml:space="preserve"> por considerar que adolece de vicios de nulidad.</w:t>
      </w:r>
      <w:r w:rsidRPr="00DF5296">
        <w:rPr>
          <w:rFonts w:ascii="Verdana" w:hAnsi="Verdana"/>
          <w:sz w:val="22"/>
          <w:szCs w:val="22"/>
          <w:lang w:val="es-MX"/>
        </w:rPr>
        <w:t xml:space="preserve"> (Léanse folios del 11 al 26 del expediente administrativo) </w:t>
      </w:r>
    </w:p>
    <w:p w:rsidR="00355FEB" w:rsidRPr="00DF5296" w:rsidRDefault="00355FEB" w:rsidP="00355FEB">
      <w:pPr>
        <w:pStyle w:val="Sinespaciado"/>
        <w:spacing w:line="276" w:lineRule="auto"/>
        <w:jc w:val="both"/>
        <w:rPr>
          <w:rFonts w:ascii="Verdana" w:hAnsi="Verdana"/>
          <w:b/>
          <w:sz w:val="22"/>
          <w:szCs w:val="22"/>
        </w:rPr>
      </w:pP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rPr>
        <w:t>C). -</w:t>
      </w:r>
      <w:r w:rsidRPr="00DF5296">
        <w:rPr>
          <w:rFonts w:ascii="Verdana" w:hAnsi="Verdana"/>
          <w:sz w:val="22"/>
          <w:szCs w:val="22"/>
        </w:rPr>
        <w:t xml:space="preserve"> </w:t>
      </w:r>
      <w:r w:rsidRPr="00DF5296">
        <w:rPr>
          <w:rFonts w:ascii="Verdana" w:hAnsi="Verdana"/>
          <w:sz w:val="22"/>
          <w:szCs w:val="22"/>
          <w:lang w:val="es-MX"/>
        </w:rPr>
        <w:t xml:space="preserve">La Junta Directiva del Consejo de Transporte Público mediante su </w:t>
      </w:r>
      <w:r>
        <w:rPr>
          <w:rFonts w:ascii="Verdana" w:hAnsi="Verdana"/>
          <w:b/>
          <w:sz w:val="22"/>
          <w:szCs w:val="22"/>
          <w:lang w:val="es-MX"/>
        </w:rPr>
        <w:t>Acuerdo número 7.5.6</w:t>
      </w:r>
      <w:r w:rsidRPr="00DF5296">
        <w:rPr>
          <w:rFonts w:ascii="Verdana" w:hAnsi="Verdana"/>
          <w:b/>
          <w:sz w:val="22"/>
          <w:szCs w:val="22"/>
          <w:lang w:val="es-MX"/>
        </w:rPr>
        <w:t xml:space="preserve"> </w:t>
      </w:r>
      <w:r>
        <w:rPr>
          <w:rFonts w:ascii="Verdana" w:hAnsi="Verdana"/>
          <w:b/>
          <w:sz w:val="22"/>
          <w:szCs w:val="22"/>
          <w:lang w:val="es-MX"/>
        </w:rPr>
        <w:t>de su Sesión Ordinaria No. 025</w:t>
      </w:r>
      <w:r w:rsidRPr="00DF5296">
        <w:rPr>
          <w:rFonts w:ascii="Verdana" w:hAnsi="Verdana"/>
          <w:b/>
          <w:sz w:val="22"/>
          <w:szCs w:val="22"/>
          <w:lang w:val="es-MX"/>
        </w:rPr>
        <w:t xml:space="preserve">-2016 </w:t>
      </w:r>
      <w:r>
        <w:rPr>
          <w:rFonts w:ascii="Verdana" w:hAnsi="Verdana"/>
          <w:b/>
          <w:sz w:val="22"/>
          <w:szCs w:val="22"/>
          <w:lang w:val="es-MX"/>
        </w:rPr>
        <w:t>c</w:t>
      </w:r>
      <w:r w:rsidRPr="00DF5296">
        <w:rPr>
          <w:rFonts w:ascii="Verdana" w:hAnsi="Verdana"/>
          <w:b/>
          <w:sz w:val="22"/>
          <w:szCs w:val="22"/>
          <w:lang w:val="es-MX"/>
        </w:rPr>
        <w:t>e</w:t>
      </w:r>
      <w:r>
        <w:rPr>
          <w:rFonts w:ascii="Verdana" w:hAnsi="Verdana"/>
          <w:b/>
          <w:sz w:val="22"/>
          <w:szCs w:val="22"/>
          <w:lang w:val="es-MX"/>
        </w:rPr>
        <w:t>le</w:t>
      </w:r>
      <w:r w:rsidRPr="00DF5296">
        <w:rPr>
          <w:rFonts w:ascii="Verdana" w:hAnsi="Verdana"/>
          <w:b/>
          <w:sz w:val="22"/>
          <w:szCs w:val="22"/>
          <w:lang w:val="es-MX"/>
        </w:rPr>
        <w:t xml:space="preserve">brada </w:t>
      </w:r>
      <w:r>
        <w:rPr>
          <w:rFonts w:ascii="Verdana" w:hAnsi="Verdana"/>
          <w:b/>
          <w:sz w:val="22"/>
          <w:szCs w:val="22"/>
          <w:lang w:val="es-MX"/>
        </w:rPr>
        <w:t>el 12</w:t>
      </w:r>
      <w:r w:rsidRPr="00DF5296">
        <w:rPr>
          <w:rFonts w:ascii="Verdana" w:hAnsi="Verdana"/>
          <w:b/>
          <w:sz w:val="22"/>
          <w:szCs w:val="22"/>
          <w:lang w:val="es-MX"/>
        </w:rPr>
        <w:t xml:space="preserve"> de </w:t>
      </w:r>
      <w:r>
        <w:rPr>
          <w:rFonts w:ascii="Verdana" w:hAnsi="Verdana"/>
          <w:b/>
          <w:sz w:val="22"/>
          <w:szCs w:val="22"/>
          <w:lang w:val="es-MX"/>
        </w:rPr>
        <w:t xml:space="preserve">mayo </w:t>
      </w:r>
      <w:r w:rsidRPr="00DF5296">
        <w:rPr>
          <w:rFonts w:ascii="Verdana" w:hAnsi="Verdana"/>
          <w:b/>
          <w:sz w:val="22"/>
          <w:szCs w:val="22"/>
          <w:lang w:val="es-MX"/>
        </w:rPr>
        <w:t>de 2016</w:t>
      </w:r>
      <w:r w:rsidRPr="00DF5296">
        <w:rPr>
          <w:rFonts w:ascii="Verdana" w:hAnsi="Verdana"/>
          <w:sz w:val="22"/>
          <w:szCs w:val="22"/>
          <w:lang w:val="es-MX"/>
        </w:rPr>
        <w:t xml:space="preserve">, acoge el informe de la Dirección de Asuntos Jurídicos </w:t>
      </w:r>
      <w:r>
        <w:rPr>
          <w:rFonts w:ascii="Verdana" w:hAnsi="Verdana"/>
          <w:b/>
          <w:sz w:val="22"/>
          <w:szCs w:val="22"/>
          <w:lang w:val="es-MX"/>
        </w:rPr>
        <w:t>DAJ-2016001612 de 5</w:t>
      </w:r>
      <w:r w:rsidRPr="00DF5296">
        <w:rPr>
          <w:rFonts w:ascii="Verdana" w:hAnsi="Verdana"/>
          <w:b/>
          <w:sz w:val="22"/>
          <w:szCs w:val="22"/>
          <w:lang w:val="es-MX"/>
        </w:rPr>
        <w:t xml:space="preserve"> de </w:t>
      </w:r>
      <w:r>
        <w:rPr>
          <w:rFonts w:ascii="Verdana" w:hAnsi="Verdana"/>
          <w:b/>
          <w:sz w:val="22"/>
          <w:szCs w:val="22"/>
          <w:lang w:val="es-MX"/>
        </w:rPr>
        <w:t xml:space="preserve">mayo </w:t>
      </w:r>
      <w:r w:rsidRPr="00DF5296">
        <w:rPr>
          <w:rFonts w:ascii="Verdana" w:hAnsi="Verdana"/>
          <w:b/>
          <w:sz w:val="22"/>
          <w:szCs w:val="22"/>
          <w:lang w:val="es-MX"/>
        </w:rPr>
        <w:t>de 2016</w:t>
      </w:r>
      <w:r w:rsidRPr="00DF5296">
        <w:rPr>
          <w:rFonts w:ascii="Verdana" w:hAnsi="Verdana"/>
          <w:sz w:val="22"/>
          <w:szCs w:val="22"/>
          <w:lang w:val="es-MX"/>
        </w:rPr>
        <w:t xml:space="preserve"> y acuerda rechazar el Recurso de Revocatoria y la Acción de Nulidad interpuestos por improcedentes. (</w:t>
      </w:r>
      <w:r>
        <w:rPr>
          <w:rFonts w:ascii="Verdana" w:hAnsi="Verdana"/>
          <w:sz w:val="22"/>
          <w:szCs w:val="22"/>
          <w:lang w:val="es-MX"/>
        </w:rPr>
        <w:t>Léanse folios del 1 al 8</w:t>
      </w:r>
      <w:r w:rsidRPr="00DF5296">
        <w:rPr>
          <w:rFonts w:ascii="Verdana" w:hAnsi="Verdana"/>
          <w:sz w:val="22"/>
          <w:szCs w:val="22"/>
          <w:lang w:val="es-MX"/>
        </w:rPr>
        <w:t xml:space="preserve"> del expediente administrativo).</w:t>
      </w:r>
    </w:p>
    <w:p w:rsidR="00355FEB" w:rsidRPr="00DF5296" w:rsidRDefault="00355FEB" w:rsidP="00355FEB">
      <w:pPr>
        <w:jc w:val="both"/>
        <w:rPr>
          <w:rFonts w:ascii="Verdana" w:hAnsi="Verdana"/>
          <w:b/>
          <w:sz w:val="22"/>
          <w:szCs w:val="22"/>
          <w:lang w:val="es-MX"/>
        </w:rPr>
      </w:pPr>
    </w:p>
    <w:p w:rsidR="00355FEB" w:rsidRPr="00DF5296" w:rsidRDefault="00355FEB" w:rsidP="00355FEB">
      <w:pPr>
        <w:jc w:val="both"/>
        <w:rPr>
          <w:rFonts w:ascii="Verdana" w:hAnsi="Verdana"/>
          <w:b/>
          <w:sz w:val="22"/>
          <w:szCs w:val="22"/>
          <w:lang w:val="es-MX"/>
        </w:rPr>
      </w:pPr>
    </w:p>
    <w:p w:rsidR="00355FEB" w:rsidRPr="00DF5296" w:rsidRDefault="00355FEB" w:rsidP="00355FEB">
      <w:pPr>
        <w:jc w:val="both"/>
        <w:rPr>
          <w:rFonts w:ascii="Verdana" w:hAnsi="Verdana"/>
          <w:b/>
          <w:sz w:val="22"/>
          <w:szCs w:val="22"/>
        </w:rPr>
      </w:pPr>
      <w:r w:rsidRPr="00DF5296">
        <w:rPr>
          <w:rFonts w:ascii="Verdana" w:hAnsi="Verdana"/>
          <w:b/>
          <w:sz w:val="22"/>
          <w:szCs w:val="22"/>
        </w:rPr>
        <w:lastRenderedPageBreak/>
        <w:t xml:space="preserve">4.- HECHOS NO PROBADOS: </w:t>
      </w:r>
      <w:r w:rsidRPr="00DF5296">
        <w:rPr>
          <w:rFonts w:ascii="Verdana" w:hAnsi="Verdana"/>
          <w:sz w:val="22"/>
          <w:szCs w:val="22"/>
        </w:rPr>
        <w:t xml:space="preserve">Ninguno de relevancia para el caso. </w:t>
      </w:r>
    </w:p>
    <w:p w:rsidR="00355FEB" w:rsidRPr="00DF5296" w:rsidRDefault="00355FEB" w:rsidP="00355FEB">
      <w:pPr>
        <w:jc w:val="both"/>
        <w:rPr>
          <w:rFonts w:ascii="Verdana" w:hAnsi="Verdana"/>
          <w:b/>
          <w:sz w:val="22"/>
          <w:szCs w:val="22"/>
        </w:rPr>
      </w:pPr>
    </w:p>
    <w:p w:rsidR="00355FEB" w:rsidRPr="00DF5296" w:rsidRDefault="00355FEB" w:rsidP="00355FEB">
      <w:pPr>
        <w:jc w:val="both"/>
        <w:rPr>
          <w:rFonts w:ascii="Verdana" w:hAnsi="Verdana"/>
          <w:b/>
          <w:sz w:val="22"/>
          <w:szCs w:val="22"/>
        </w:rPr>
      </w:pPr>
    </w:p>
    <w:p w:rsidR="00355FEB" w:rsidRPr="00DF5296" w:rsidRDefault="00355FEB" w:rsidP="00355FEB">
      <w:pPr>
        <w:jc w:val="both"/>
        <w:rPr>
          <w:rFonts w:ascii="Verdana" w:hAnsi="Verdana"/>
          <w:b/>
          <w:sz w:val="22"/>
          <w:szCs w:val="22"/>
        </w:rPr>
      </w:pPr>
      <w:r w:rsidRPr="00DF5296">
        <w:rPr>
          <w:rFonts w:ascii="Verdana" w:hAnsi="Verdana"/>
          <w:b/>
          <w:sz w:val="22"/>
          <w:szCs w:val="22"/>
        </w:rPr>
        <w:t xml:space="preserve">5.- SOBRE EL FONDO </w:t>
      </w:r>
    </w:p>
    <w:p w:rsidR="00355FEB" w:rsidRPr="00DF5296" w:rsidRDefault="00355FEB" w:rsidP="00355FEB">
      <w:pPr>
        <w:jc w:val="both"/>
        <w:rPr>
          <w:rFonts w:ascii="Verdana" w:hAnsi="Verdana"/>
          <w:b/>
          <w:sz w:val="22"/>
          <w:szCs w:val="22"/>
        </w:rPr>
      </w:pPr>
    </w:p>
    <w:p w:rsidR="00355FEB" w:rsidRPr="00DF5296" w:rsidRDefault="00355FEB" w:rsidP="00355FEB">
      <w:pPr>
        <w:jc w:val="both"/>
        <w:rPr>
          <w:rFonts w:ascii="Verdana" w:hAnsi="Verdana"/>
          <w:sz w:val="22"/>
          <w:szCs w:val="22"/>
        </w:rPr>
      </w:pPr>
      <w:r w:rsidRPr="00DF5296">
        <w:rPr>
          <w:rFonts w:ascii="Verdana" w:hAnsi="Verdana"/>
          <w:b/>
          <w:sz w:val="22"/>
          <w:szCs w:val="22"/>
        </w:rPr>
        <w:t xml:space="preserve">OBJETO DEL PROCEDIMIENTO. </w:t>
      </w:r>
      <w:r w:rsidRPr="00DF5296">
        <w:rPr>
          <w:rFonts w:ascii="Verdana" w:hAnsi="Verdana"/>
          <w:sz w:val="22"/>
          <w:szCs w:val="22"/>
        </w:rPr>
        <w:t xml:space="preserve">Determinar la presunta ilegalidad del </w:t>
      </w:r>
      <w:r w:rsidRPr="00DF5296">
        <w:rPr>
          <w:rFonts w:ascii="Verdana" w:hAnsi="Verdana" w:cs="Arial"/>
          <w:b/>
          <w:sz w:val="22"/>
          <w:szCs w:val="22"/>
        </w:rPr>
        <w:t>Artículo 7.2 de la Sesión Ordinaria 44-2015, de la Junta Directiva del Consejo de Transporte Público</w:t>
      </w:r>
      <w:r w:rsidRPr="00DF5296">
        <w:rPr>
          <w:rFonts w:ascii="Verdana" w:hAnsi="Verdana"/>
          <w:sz w:val="22"/>
          <w:szCs w:val="22"/>
          <w:lang w:val="es-ES_tradnl"/>
        </w:rPr>
        <w:t xml:space="preserve">, </w:t>
      </w:r>
      <w:r w:rsidRPr="00DF5296">
        <w:rPr>
          <w:rFonts w:ascii="Verdana" w:hAnsi="Verdana"/>
          <w:sz w:val="22"/>
          <w:szCs w:val="22"/>
        </w:rPr>
        <w:t>y se proceda a su anulación.</w:t>
      </w:r>
    </w:p>
    <w:p w:rsidR="00355FEB" w:rsidRPr="00DF5296" w:rsidRDefault="00355FEB" w:rsidP="00355FEB">
      <w:pPr>
        <w:jc w:val="both"/>
        <w:rPr>
          <w:rFonts w:ascii="Verdana" w:hAnsi="Verdana"/>
          <w:b/>
          <w:sz w:val="22"/>
          <w:szCs w:val="22"/>
        </w:rPr>
      </w:pPr>
    </w:p>
    <w:p w:rsidR="00355FEB" w:rsidRPr="00DF5296" w:rsidRDefault="00355FEB" w:rsidP="00355FEB">
      <w:pPr>
        <w:jc w:val="both"/>
        <w:rPr>
          <w:rFonts w:ascii="Verdana" w:hAnsi="Verdana"/>
          <w:b/>
          <w:sz w:val="22"/>
          <w:szCs w:val="22"/>
        </w:rPr>
      </w:pPr>
      <w:r w:rsidRPr="00DF5296">
        <w:rPr>
          <w:rFonts w:ascii="Verdana" w:hAnsi="Verdana"/>
          <w:b/>
          <w:sz w:val="22"/>
          <w:szCs w:val="22"/>
        </w:rPr>
        <w:t>DE LO ACTUADO POR EL CONSEJO DE TRANSPORTE PÚBLICO.</w:t>
      </w:r>
    </w:p>
    <w:p w:rsidR="00355FEB" w:rsidRPr="00DF5296" w:rsidRDefault="00355FEB" w:rsidP="00355FEB">
      <w:pPr>
        <w:jc w:val="both"/>
        <w:rPr>
          <w:rFonts w:ascii="Verdana" w:hAnsi="Verdana"/>
          <w:b/>
          <w:sz w:val="22"/>
          <w:szCs w:val="22"/>
        </w:rPr>
      </w:pPr>
    </w:p>
    <w:p w:rsidR="00355FEB" w:rsidRPr="00DF5296" w:rsidRDefault="00355FEB" w:rsidP="00355FEB">
      <w:pPr>
        <w:jc w:val="both"/>
        <w:rPr>
          <w:rFonts w:ascii="Verdana" w:hAnsi="Verdana"/>
          <w:sz w:val="22"/>
          <w:szCs w:val="22"/>
          <w:lang w:val="es-MX"/>
        </w:rPr>
      </w:pPr>
      <w:r w:rsidRPr="00DF5296">
        <w:rPr>
          <w:rFonts w:ascii="Verdana" w:hAnsi="Verdana"/>
          <w:sz w:val="22"/>
          <w:szCs w:val="22"/>
          <w:lang w:val="es-MX"/>
        </w:rPr>
        <w:t xml:space="preserve">La Junta Directiva del Consejo de Transporte Público, mediante </w:t>
      </w:r>
      <w:r w:rsidRPr="00DF5296">
        <w:rPr>
          <w:rFonts w:ascii="Verdana" w:hAnsi="Verdana" w:cs="Arial"/>
          <w:b/>
          <w:sz w:val="22"/>
          <w:szCs w:val="22"/>
        </w:rPr>
        <w:t>Artículo 7.2 de la Sesión Ordinaria 44-2015 del 30 de julio de 2015</w:t>
      </w:r>
      <w:r w:rsidRPr="00DF5296">
        <w:rPr>
          <w:rFonts w:ascii="Verdana" w:hAnsi="Verdana"/>
          <w:sz w:val="22"/>
          <w:szCs w:val="22"/>
          <w:lang w:val="es-MX"/>
        </w:rPr>
        <w:t xml:space="preserve">, dispuso aprobar el </w:t>
      </w:r>
      <w:r w:rsidRPr="00DF5296">
        <w:rPr>
          <w:rFonts w:ascii="Verdana" w:hAnsi="Verdana"/>
          <w:b/>
          <w:sz w:val="22"/>
          <w:szCs w:val="22"/>
          <w:lang w:val="es-MX"/>
        </w:rPr>
        <w:t>“MANUAL PARA LA EVALUACIÓN Y CALIFICACIÓN DE LA CALIDAD DEL SERVICIO PUBLICO DE TRANSPORTE REMUNERADO DE PERSONAS”</w:t>
      </w:r>
      <w:r w:rsidRPr="00DF5296">
        <w:rPr>
          <w:rFonts w:ascii="Verdana" w:hAnsi="Verdana"/>
          <w:sz w:val="22"/>
          <w:szCs w:val="22"/>
          <w:lang w:val="es-MX"/>
        </w:rPr>
        <w:t>.</w:t>
      </w:r>
    </w:p>
    <w:p w:rsidR="00355FEB" w:rsidRPr="00DF5296" w:rsidRDefault="00355FEB" w:rsidP="00355FEB">
      <w:pPr>
        <w:jc w:val="both"/>
        <w:rPr>
          <w:rFonts w:ascii="Verdana" w:hAnsi="Verdana"/>
          <w:sz w:val="22"/>
          <w:szCs w:val="22"/>
        </w:rPr>
      </w:pPr>
    </w:p>
    <w:p w:rsidR="00355FEB" w:rsidRPr="00DF5296" w:rsidRDefault="00355FEB" w:rsidP="00355FEB">
      <w:pPr>
        <w:jc w:val="both"/>
        <w:rPr>
          <w:rFonts w:ascii="Verdana" w:hAnsi="Verdana"/>
          <w:b/>
          <w:sz w:val="22"/>
          <w:szCs w:val="22"/>
        </w:rPr>
      </w:pPr>
      <w:r w:rsidRPr="00DF5296">
        <w:rPr>
          <w:rFonts w:ascii="Verdana" w:hAnsi="Verdana"/>
          <w:sz w:val="22"/>
          <w:szCs w:val="22"/>
          <w:lang w:val="es-MX"/>
        </w:rPr>
        <w:t xml:space="preserve">La Junta Directiva del Consejo de Transporte Público mediante su </w:t>
      </w:r>
      <w:r>
        <w:rPr>
          <w:rFonts w:ascii="Verdana" w:hAnsi="Verdana"/>
          <w:b/>
          <w:sz w:val="22"/>
          <w:szCs w:val="22"/>
          <w:lang w:val="es-MX"/>
        </w:rPr>
        <w:t>Acuerdo número 7.5.6</w:t>
      </w:r>
      <w:r w:rsidRPr="00DF5296">
        <w:rPr>
          <w:rFonts w:ascii="Verdana" w:hAnsi="Verdana"/>
          <w:b/>
          <w:sz w:val="22"/>
          <w:szCs w:val="22"/>
          <w:lang w:val="es-MX"/>
        </w:rPr>
        <w:t xml:space="preserve"> </w:t>
      </w:r>
      <w:r>
        <w:rPr>
          <w:rFonts w:ascii="Verdana" w:hAnsi="Verdana"/>
          <w:b/>
          <w:sz w:val="22"/>
          <w:szCs w:val="22"/>
          <w:lang w:val="es-MX"/>
        </w:rPr>
        <w:t>de su Sesión Ordinaria No. 025</w:t>
      </w:r>
      <w:r w:rsidRPr="00DF5296">
        <w:rPr>
          <w:rFonts w:ascii="Verdana" w:hAnsi="Verdana"/>
          <w:b/>
          <w:sz w:val="22"/>
          <w:szCs w:val="22"/>
          <w:lang w:val="es-MX"/>
        </w:rPr>
        <w:t xml:space="preserve">-2016 </w:t>
      </w:r>
      <w:r>
        <w:rPr>
          <w:rFonts w:ascii="Verdana" w:hAnsi="Verdana"/>
          <w:b/>
          <w:sz w:val="22"/>
          <w:szCs w:val="22"/>
          <w:lang w:val="es-MX"/>
        </w:rPr>
        <w:t>c</w:t>
      </w:r>
      <w:r w:rsidRPr="00DF5296">
        <w:rPr>
          <w:rFonts w:ascii="Verdana" w:hAnsi="Verdana"/>
          <w:b/>
          <w:sz w:val="22"/>
          <w:szCs w:val="22"/>
          <w:lang w:val="es-MX"/>
        </w:rPr>
        <w:t>e</w:t>
      </w:r>
      <w:r>
        <w:rPr>
          <w:rFonts w:ascii="Verdana" w:hAnsi="Verdana"/>
          <w:b/>
          <w:sz w:val="22"/>
          <w:szCs w:val="22"/>
          <w:lang w:val="es-MX"/>
        </w:rPr>
        <w:t>le</w:t>
      </w:r>
      <w:r w:rsidRPr="00DF5296">
        <w:rPr>
          <w:rFonts w:ascii="Verdana" w:hAnsi="Verdana"/>
          <w:b/>
          <w:sz w:val="22"/>
          <w:szCs w:val="22"/>
          <w:lang w:val="es-MX"/>
        </w:rPr>
        <w:t xml:space="preserve">brada </w:t>
      </w:r>
      <w:r>
        <w:rPr>
          <w:rFonts w:ascii="Verdana" w:hAnsi="Verdana"/>
          <w:b/>
          <w:sz w:val="22"/>
          <w:szCs w:val="22"/>
          <w:lang w:val="es-MX"/>
        </w:rPr>
        <w:t>el 12</w:t>
      </w:r>
      <w:r w:rsidRPr="00DF5296">
        <w:rPr>
          <w:rFonts w:ascii="Verdana" w:hAnsi="Verdana"/>
          <w:b/>
          <w:sz w:val="22"/>
          <w:szCs w:val="22"/>
          <w:lang w:val="es-MX"/>
        </w:rPr>
        <w:t xml:space="preserve"> de </w:t>
      </w:r>
      <w:r>
        <w:rPr>
          <w:rFonts w:ascii="Verdana" w:hAnsi="Verdana"/>
          <w:b/>
          <w:sz w:val="22"/>
          <w:szCs w:val="22"/>
          <w:lang w:val="es-MX"/>
        </w:rPr>
        <w:t xml:space="preserve">mayo </w:t>
      </w:r>
      <w:r w:rsidRPr="00DF5296">
        <w:rPr>
          <w:rFonts w:ascii="Verdana" w:hAnsi="Verdana"/>
          <w:b/>
          <w:sz w:val="22"/>
          <w:szCs w:val="22"/>
          <w:lang w:val="es-MX"/>
        </w:rPr>
        <w:t>de 2016</w:t>
      </w:r>
      <w:r w:rsidRPr="00DF5296">
        <w:rPr>
          <w:rFonts w:ascii="Verdana" w:hAnsi="Verdana"/>
          <w:sz w:val="22"/>
          <w:szCs w:val="22"/>
          <w:lang w:val="es-MX"/>
        </w:rPr>
        <w:t xml:space="preserve">, acoge el informe de la Dirección de Asuntos Jurídicos </w:t>
      </w:r>
      <w:r>
        <w:rPr>
          <w:rFonts w:ascii="Verdana" w:hAnsi="Verdana"/>
          <w:b/>
          <w:sz w:val="22"/>
          <w:szCs w:val="22"/>
          <w:lang w:val="es-MX"/>
        </w:rPr>
        <w:t>DAJ-2016001612 de 5</w:t>
      </w:r>
      <w:r w:rsidRPr="00DF5296">
        <w:rPr>
          <w:rFonts w:ascii="Verdana" w:hAnsi="Verdana"/>
          <w:b/>
          <w:sz w:val="22"/>
          <w:szCs w:val="22"/>
          <w:lang w:val="es-MX"/>
        </w:rPr>
        <w:t xml:space="preserve"> de </w:t>
      </w:r>
      <w:r>
        <w:rPr>
          <w:rFonts w:ascii="Verdana" w:hAnsi="Verdana"/>
          <w:b/>
          <w:sz w:val="22"/>
          <w:szCs w:val="22"/>
          <w:lang w:val="es-MX"/>
        </w:rPr>
        <w:t xml:space="preserve">mayo </w:t>
      </w:r>
      <w:r w:rsidRPr="00DF5296">
        <w:rPr>
          <w:rFonts w:ascii="Verdana" w:hAnsi="Verdana"/>
          <w:b/>
          <w:sz w:val="22"/>
          <w:szCs w:val="22"/>
          <w:lang w:val="es-MX"/>
        </w:rPr>
        <w:t>de 2016</w:t>
      </w:r>
      <w:r w:rsidRPr="00DF5296">
        <w:rPr>
          <w:rFonts w:ascii="Verdana" w:hAnsi="Verdana"/>
          <w:sz w:val="22"/>
          <w:szCs w:val="22"/>
          <w:lang w:val="es-MX"/>
        </w:rPr>
        <w:t xml:space="preserve"> y acuerda rechazar el Recurso de Revocatoria y la Acción de Nulidad interpuestos por improcedentes</w:t>
      </w:r>
    </w:p>
    <w:p w:rsidR="00355FEB" w:rsidRPr="00DF5296" w:rsidRDefault="00355FEB" w:rsidP="00355FEB">
      <w:pPr>
        <w:jc w:val="both"/>
        <w:rPr>
          <w:rFonts w:ascii="Verdana" w:hAnsi="Verdana"/>
          <w:b/>
          <w:sz w:val="22"/>
          <w:szCs w:val="22"/>
        </w:rPr>
      </w:pPr>
      <w:r w:rsidRPr="00DF5296">
        <w:rPr>
          <w:rFonts w:ascii="Verdana" w:hAnsi="Verdana"/>
          <w:b/>
          <w:sz w:val="22"/>
          <w:szCs w:val="22"/>
        </w:rPr>
        <w:t>ALEGATOS DE LA RECURRENTE.</w:t>
      </w:r>
    </w:p>
    <w:p w:rsidR="00355FEB" w:rsidRPr="00DF5296" w:rsidRDefault="00355FEB" w:rsidP="00355FEB">
      <w:pPr>
        <w:jc w:val="both"/>
        <w:rPr>
          <w:rFonts w:ascii="Verdana" w:hAnsi="Verdana"/>
          <w:sz w:val="22"/>
          <w:szCs w:val="22"/>
        </w:rPr>
      </w:pP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La recurrente</w:t>
      </w:r>
      <w:r w:rsidRPr="00DF5296">
        <w:rPr>
          <w:rFonts w:ascii="Verdana" w:hAnsi="Verdana" w:cs="Arial"/>
          <w:b/>
          <w:sz w:val="22"/>
          <w:szCs w:val="22"/>
        </w:rPr>
        <w:t xml:space="preserve">, </w:t>
      </w:r>
      <w:r w:rsidRPr="00DF5296">
        <w:rPr>
          <w:rFonts w:ascii="Verdana" w:hAnsi="Verdana" w:cs="Arial"/>
          <w:sz w:val="22"/>
          <w:szCs w:val="22"/>
        </w:rPr>
        <w:t xml:space="preserve">impugna el </w:t>
      </w:r>
      <w:r w:rsidRPr="00DF5296">
        <w:rPr>
          <w:rFonts w:ascii="Verdana" w:hAnsi="Verdana" w:cs="Arial"/>
          <w:b/>
          <w:sz w:val="22"/>
          <w:szCs w:val="22"/>
        </w:rPr>
        <w:t>Artículo 7.2 de la Sesión Ordinaria 44-2015, de la Junta Directiva del Consejo de Transporte Público,</w:t>
      </w:r>
      <w:r w:rsidRPr="00DF5296">
        <w:rPr>
          <w:rFonts w:ascii="Verdana" w:hAnsi="Verdana" w:cs="Arial"/>
          <w:sz w:val="22"/>
          <w:szCs w:val="22"/>
        </w:rPr>
        <w:t xml:space="preserve"> indicando lo siguiente:</w:t>
      </w:r>
      <w:r w:rsidRPr="00DF5296">
        <w:rPr>
          <w:rFonts w:ascii="Verdana" w:hAnsi="Verdana"/>
          <w:sz w:val="22"/>
          <w:szCs w:val="22"/>
          <w:lang w:val="es-MX"/>
        </w:rPr>
        <w:t xml:space="preserve"> </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a). -</w:t>
      </w:r>
      <w:r w:rsidRPr="00DF5296">
        <w:rPr>
          <w:rFonts w:ascii="Verdana" w:hAnsi="Verdana"/>
          <w:sz w:val="22"/>
          <w:szCs w:val="22"/>
          <w:lang w:val="es-MX"/>
        </w:rPr>
        <w:t xml:space="preserve"> Indica que se presentaron observaciones, algunas de las cuales fueron tomadas en cuenta y acogidas, y otras no por lo que no conforme con algunos extremos del Manual de Evaluación de la Calidad y en razón de que no acogieron algunas observaciones proceden a presentar el presente Recurso de conformidad con las razones de hecho y de derecho que expone.</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b). -</w:t>
      </w:r>
      <w:r w:rsidRPr="00DF5296">
        <w:rPr>
          <w:rFonts w:ascii="Verdana" w:hAnsi="Verdana"/>
          <w:sz w:val="22"/>
          <w:szCs w:val="22"/>
          <w:lang w:val="es-MX"/>
        </w:rPr>
        <w:t xml:space="preserve"> El Manual debe hacer mención a la política de </w:t>
      </w:r>
      <w:r>
        <w:rPr>
          <w:rFonts w:ascii="Verdana" w:hAnsi="Verdana"/>
          <w:sz w:val="22"/>
          <w:szCs w:val="22"/>
          <w:lang w:val="es-MX"/>
        </w:rPr>
        <w:t>calidad sobre la cual se rige</w:t>
      </w:r>
      <w:r w:rsidRPr="00DF5296">
        <w:rPr>
          <w:rFonts w:ascii="Verdana" w:hAnsi="Verdana"/>
          <w:sz w:val="22"/>
          <w:szCs w:val="22"/>
          <w:lang w:val="es-MX"/>
        </w:rPr>
        <w:t xml:space="preserve"> el Consejo de Transporte Público y debe ser lo suficientemente claro para que pueda ser entendido por cualquier persona principalmente los técnicos que harán el estudio, debe contar con un apartado de definiciones dado que hace referencia al Decreto Ejecutivo número 28833-MOPT.</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c).-</w:t>
      </w:r>
      <w:r w:rsidRPr="00DF5296">
        <w:rPr>
          <w:rFonts w:ascii="Verdana" w:hAnsi="Verdana"/>
          <w:sz w:val="22"/>
          <w:szCs w:val="22"/>
          <w:lang w:val="es-MX"/>
        </w:rPr>
        <w:t xml:space="preserve"> </w:t>
      </w:r>
      <w:r w:rsidRPr="00DF5296">
        <w:rPr>
          <w:rFonts w:ascii="Verdana" w:hAnsi="Verdana"/>
          <w:b/>
          <w:sz w:val="22"/>
          <w:szCs w:val="22"/>
          <w:lang w:val="es-MX"/>
        </w:rPr>
        <w:t>El Decreto Ejecutivo número 28833-MOPT en su artículo 16</w:t>
      </w:r>
      <w:r w:rsidRPr="00DF5296">
        <w:rPr>
          <w:rFonts w:ascii="Verdana" w:hAnsi="Verdana"/>
          <w:sz w:val="22"/>
          <w:szCs w:val="22"/>
          <w:lang w:val="es-MX"/>
        </w:rPr>
        <w:t>, hace referencia a que el perito cuenta con 3 meses para entregar el informe técnico una vez realizada la verificación de la calidad, pero en el Manual aprobado no se hace referencia a dicho plazo, plazo que además es improcedente de conformidad con la cantidad de estudios que habría que realizar por año y la poca cantidad de profesionales con conocimientos en la materia que existen, por lo que la Administración debe valorar la posibilidad de reformar el Decreto indicado.</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d). -</w:t>
      </w:r>
      <w:r w:rsidRPr="00DF5296">
        <w:rPr>
          <w:rFonts w:ascii="Verdana" w:hAnsi="Verdana"/>
          <w:sz w:val="22"/>
          <w:szCs w:val="22"/>
          <w:lang w:val="es-MX"/>
        </w:rPr>
        <w:t xml:space="preserve"> En cuanto al ítem </w:t>
      </w:r>
      <w:r w:rsidRPr="00DF5296">
        <w:rPr>
          <w:rFonts w:ascii="Verdana" w:hAnsi="Verdana"/>
          <w:b/>
          <w:sz w:val="22"/>
          <w:szCs w:val="22"/>
          <w:lang w:val="es-MX"/>
        </w:rPr>
        <w:t>0.5 Capacitación</w:t>
      </w:r>
      <w:r w:rsidRPr="00DF5296">
        <w:rPr>
          <w:rFonts w:ascii="Verdana" w:hAnsi="Verdana"/>
          <w:sz w:val="22"/>
          <w:szCs w:val="22"/>
          <w:lang w:val="es-MX"/>
        </w:rPr>
        <w:t xml:space="preserve"> la gran mayoría de los conductores ya han sido capacitados y dichos conocimientos no se pierden por lo que es contrario a la razón, la proporcionalidad y la sana critica, solicitar cursos de </w:t>
      </w:r>
      <w:r w:rsidRPr="00DF5296">
        <w:rPr>
          <w:rFonts w:ascii="Verdana" w:hAnsi="Verdana"/>
          <w:sz w:val="22"/>
          <w:szCs w:val="22"/>
          <w:lang w:val="es-MX"/>
        </w:rPr>
        <w:lastRenderedPageBreak/>
        <w:t>capacitación cada año</w:t>
      </w:r>
      <w:r>
        <w:rPr>
          <w:rFonts w:ascii="Verdana" w:hAnsi="Verdana"/>
          <w:sz w:val="22"/>
          <w:szCs w:val="22"/>
          <w:lang w:val="es-MX"/>
        </w:rPr>
        <w:t>,</w:t>
      </w:r>
      <w:r w:rsidRPr="00DF5296">
        <w:rPr>
          <w:rFonts w:ascii="Verdana" w:hAnsi="Verdana"/>
          <w:sz w:val="22"/>
          <w:szCs w:val="22"/>
          <w:lang w:val="es-MX"/>
        </w:rPr>
        <w:t xml:space="preserve"> lo lógico sería que se solicite para el nuevo personal de la empresa, que no tenga capacitación previa.</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e). -</w:t>
      </w:r>
      <w:r w:rsidRPr="00DF5296">
        <w:rPr>
          <w:rFonts w:ascii="Verdana" w:hAnsi="Verdana"/>
          <w:sz w:val="22"/>
          <w:szCs w:val="22"/>
          <w:lang w:val="es-MX"/>
        </w:rPr>
        <w:t xml:space="preserve"> En c</w:t>
      </w:r>
      <w:r>
        <w:rPr>
          <w:rFonts w:ascii="Verdana" w:hAnsi="Verdana"/>
          <w:sz w:val="22"/>
          <w:szCs w:val="22"/>
          <w:lang w:val="es-MX"/>
        </w:rPr>
        <w:t>uanto al punto 0.7 Contraloría I</w:t>
      </w:r>
      <w:r w:rsidRPr="00DF5296">
        <w:rPr>
          <w:rFonts w:ascii="Verdana" w:hAnsi="Verdana"/>
          <w:sz w:val="22"/>
          <w:szCs w:val="22"/>
          <w:lang w:val="es-MX"/>
        </w:rPr>
        <w:t>nterna de Servicios de los operadores es necesario claridad en cuanto a los plazos de verificación, presentación y procedimientos a seguir con la información de las quejas y denuncias para la verificación de la calidad.  En cuanto al punto A.3 Calidad de la Vía, no se define como evaluar los tramos de carretera que estén en lastre o en tierra ni el estado de puentes ni de zonas con riesgo de derrumbes; además se deja de lado la seguridad vial correspondiente a las personas que transitan por las vías.</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sz w:val="22"/>
          <w:szCs w:val="22"/>
          <w:lang w:val="es-MX"/>
        </w:rPr>
        <w:t>f). - En lo que corresponde a los ítems A.5 y A.7 en el borrador sometido a consulta no se otorgó puntaje a dichos rubros y en clara modificación del decreto de reiterada cita se aprueba en ambos ítems un puntaje sin razones o justificaciones técnicas de 3 puntos a cada uno.</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g).-</w:t>
      </w:r>
      <w:r w:rsidRPr="00DF5296">
        <w:rPr>
          <w:rFonts w:ascii="Verdana" w:hAnsi="Verdana"/>
          <w:sz w:val="22"/>
          <w:szCs w:val="22"/>
          <w:lang w:val="es-MX"/>
        </w:rPr>
        <w:t xml:space="preserve"> No están de acuerdo con la forma en que se determina las encuestas a los usuarios pues tal instrumento debe manejarse con sumo cuidado en cuanto a la muestra que se ha de utilizar y los criterios a evaluar en un momento determinado,  pero el punto Criterio del Usuario Tipo U se basa en comparar expectativas de los usuarios en contraposición con la realidad de la empresa y la valoración de las responsabilidades de la  Administración, pero todo en </w:t>
      </w:r>
      <w:r>
        <w:rPr>
          <w:rFonts w:ascii="Verdana" w:hAnsi="Verdana"/>
          <w:sz w:val="22"/>
          <w:szCs w:val="22"/>
          <w:lang w:val="es-MX"/>
        </w:rPr>
        <w:t xml:space="preserve">un </w:t>
      </w:r>
      <w:r w:rsidRPr="00DF5296">
        <w:rPr>
          <w:rFonts w:ascii="Verdana" w:hAnsi="Verdana"/>
          <w:sz w:val="22"/>
          <w:szCs w:val="22"/>
          <w:lang w:val="es-MX"/>
        </w:rPr>
        <w:t>solo instrumento evaluativo, que no hace una división en cuanto a unos u otros.  En este punto manifiesta la recurrente que la encuesta aprobada peca de se</w:t>
      </w:r>
      <w:r>
        <w:rPr>
          <w:rFonts w:ascii="Verdana" w:hAnsi="Verdana"/>
          <w:sz w:val="22"/>
          <w:szCs w:val="22"/>
          <w:lang w:val="es-MX"/>
        </w:rPr>
        <w:t>s</w:t>
      </w:r>
      <w:r w:rsidRPr="00DF5296">
        <w:rPr>
          <w:rFonts w:ascii="Verdana" w:hAnsi="Verdana"/>
          <w:sz w:val="22"/>
          <w:szCs w:val="22"/>
          <w:lang w:val="es-MX"/>
        </w:rPr>
        <w:t xml:space="preserve">garse hacia una evaluación  de la empresa, lo cual contraría </w:t>
      </w:r>
      <w:r w:rsidRPr="00DF5296">
        <w:rPr>
          <w:rFonts w:ascii="Verdana" w:hAnsi="Verdana"/>
          <w:b/>
          <w:sz w:val="22"/>
          <w:szCs w:val="22"/>
          <w:lang w:val="es-MX"/>
        </w:rPr>
        <w:t xml:space="preserve">El Decreto Ejecutivo número 28833-MOPT, </w:t>
      </w:r>
      <w:r w:rsidRPr="00DF5296">
        <w:rPr>
          <w:rFonts w:ascii="Verdana" w:hAnsi="Verdana"/>
          <w:sz w:val="22"/>
          <w:szCs w:val="22"/>
          <w:lang w:val="es-MX"/>
        </w:rPr>
        <w:t xml:space="preserve"> pues no aplica criterios de evaluación o de medición  objetivos, técnicos y comprobables sino que se basa en un sistema de valoración de opiniones;  además se inventa un mecanismo o criterio evaluativo  de  puntaje global de 4 (80%) que la encuesta no tiene ni lo autoriza el decreto referido, lo que constituye una extralimitación de funciones del Consejo y que violenta la norma reglamentaria.</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t>h). -</w:t>
      </w:r>
      <w:r w:rsidRPr="00DF5296">
        <w:rPr>
          <w:rFonts w:ascii="Verdana" w:hAnsi="Verdana"/>
          <w:sz w:val="22"/>
          <w:szCs w:val="22"/>
          <w:lang w:val="es-MX"/>
        </w:rPr>
        <w:t xml:space="preserve"> No puede obligarse a los operadores del servicio de transporte público a cubrir de su peculio los estudios anuales de </w:t>
      </w:r>
      <w:r>
        <w:rPr>
          <w:rFonts w:ascii="Verdana" w:hAnsi="Verdana"/>
          <w:sz w:val="22"/>
          <w:szCs w:val="22"/>
          <w:lang w:val="es-MX"/>
        </w:rPr>
        <w:t>e</w:t>
      </w:r>
      <w:r w:rsidRPr="00DF5296">
        <w:rPr>
          <w:rFonts w:ascii="Verdana" w:hAnsi="Verdana"/>
          <w:sz w:val="22"/>
          <w:szCs w:val="22"/>
          <w:lang w:val="es-MX"/>
        </w:rPr>
        <w:t>valuación de la calid</w:t>
      </w:r>
      <w:r>
        <w:rPr>
          <w:rFonts w:ascii="Verdana" w:hAnsi="Verdana"/>
          <w:sz w:val="22"/>
          <w:szCs w:val="22"/>
          <w:lang w:val="es-MX"/>
        </w:rPr>
        <w:t>ad, menos aun cuando éstos por l</w:t>
      </w:r>
      <w:r w:rsidRPr="00DF5296">
        <w:rPr>
          <w:rFonts w:ascii="Verdana" w:hAnsi="Verdana"/>
          <w:sz w:val="22"/>
          <w:szCs w:val="22"/>
          <w:lang w:val="es-MX"/>
        </w:rPr>
        <w:t>ey corresponde a la Administración hasta tanto no se consideren los costos tarifarios como lo establecen los artículos 30 y 31 de la Le</w:t>
      </w:r>
      <w:r>
        <w:rPr>
          <w:rFonts w:ascii="Verdana" w:hAnsi="Verdana"/>
          <w:sz w:val="22"/>
          <w:szCs w:val="22"/>
          <w:lang w:val="es-MX"/>
        </w:rPr>
        <w:t>y 3503 y el artículo 31 de la Le</w:t>
      </w:r>
      <w:r w:rsidRPr="00DF5296">
        <w:rPr>
          <w:rFonts w:ascii="Verdana" w:hAnsi="Verdana"/>
          <w:sz w:val="22"/>
          <w:szCs w:val="22"/>
          <w:lang w:val="es-MX"/>
        </w:rPr>
        <w:t xml:space="preserve">y 7593, pues de lo contrario se estaría ante una actuación irracional y desproporcionada de la Administración.  Por otro lado, la Administración no indica norma que la habilite para </w:t>
      </w:r>
      <w:r>
        <w:rPr>
          <w:rFonts w:ascii="Verdana" w:hAnsi="Verdana"/>
          <w:sz w:val="22"/>
          <w:szCs w:val="22"/>
          <w:lang w:val="es-MX"/>
        </w:rPr>
        <w:t>establecer como nota mínima de e</w:t>
      </w:r>
      <w:r w:rsidRPr="00DF5296">
        <w:rPr>
          <w:rFonts w:ascii="Verdana" w:hAnsi="Verdana"/>
          <w:sz w:val="22"/>
          <w:szCs w:val="22"/>
          <w:lang w:val="es-MX"/>
        </w:rPr>
        <w:t xml:space="preserve">valuación la calificación de 85 puntos pues tanto la costumbre como la Ley número 8826 que regula el Proceso Abreviado de Permisos a Concesiones establece un parámetro de calificación de 80 como nota mínima.  </w:t>
      </w:r>
      <w:r w:rsidRPr="00DF5296">
        <w:rPr>
          <w:rFonts w:ascii="Verdana" w:hAnsi="Verdana"/>
          <w:b/>
          <w:sz w:val="22"/>
          <w:szCs w:val="22"/>
          <w:lang w:val="es-MX"/>
        </w:rPr>
        <w:t xml:space="preserve">El Decreto Ejecutivo número 28833-MOPT en su artículo 14, </w:t>
      </w:r>
      <w:r w:rsidRPr="00DF5296">
        <w:rPr>
          <w:rFonts w:ascii="Verdana" w:hAnsi="Verdana"/>
          <w:sz w:val="22"/>
          <w:szCs w:val="22"/>
          <w:lang w:val="es-MX"/>
        </w:rPr>
        <w:t>establece calificaciones que van de muy bueno, bueno, regular y muy malo, pero la Administración sin sustento reglamentario establece en el manual la calificación de excelente valorada con puntaje de 100-96.</w:t>
      </w:r>
    </w:p>
    <w:p w:rsidR="00355FEB" w:rsidRPr="00DF5296" w:rsidRDefault="00355FEB" w:rsidP="00355FEB">
      <w:pPr>
        <w:pStyle w:val="Sinespaciado"/>
        <w:spacing w:line="276" w:lineRule="auto"/>
        <w:jc w:val="both"/>
        <w:rPr>
          <w:rFonts w:ascii="Verdana" w:hAnsi="Verdana"/>
          <w:sz w:val="22"/>
          <w:szCs w:val="22"/>
          <w:lang w:val="es-MX"/>
        </w:rPr>
      </w:pPr>
      <w:r w:rsidRPr="00DF5296">
        <w:rPr>
          <w:rFonts w:ascii="Verdana" w:hAnsi="Verdana"/>
          <w:b/>
          <w:sz w:val="22"/>
          <w:szCs w:val="22"/>
          <w:lang w:val="es-MX"/>
        </w:rPr>
        <w:lastRenderedPageBreak/>
        <w:t>i). -</w:t>
      </w:r>
      <w:r w:rsidRPr="00DF5296">
        <w:rPr>
          <w:rFonts w:ascii="Verdana" w:hAnsi="Verdana"/>
          <w:sz w:val="22"/>
          <w:szCs w:val="22"/>
          <w:lang w:val="es-MX"/>
        </w:rPr>
        <w:t xml:space="preserve"> El acto recurrido está vicia</w:t>
      </w:r>
      <w:r>
        <w:rPr>
          <w:rFonts w:ascii="Verdana" w:hAnsi="Verdana"/>
          <w:sz w:val="22"/>
          <w:szCs w:val="22"/>
          <w:lang w:val="es-MX"/>
        </w:rPr>
        <w:t>do de nulidad por vicios en el m</w:t>
      </w:r>
      <w:r w:rsidRPr="00DF5296">
        <w:rPr>
          <w:rFonts w:ascii="Verdana" w:hAnsi="Verdana"/>
          <w:sz w:val="22"/>
          <w:szCs w:val="22"/>
          <w:lang w:val="es-MX"/>
        </w:rPr>
        <w:t>otivo y el contenido, de conformidad con lo expuesto en el recurso, contrariándose los numerales 132 y 133 de la Ley General de la Administra</w:t>
      </w:r>
      <w:r>
        <w:rPr>
          <w:rFonts w:ascii="Verdana" w:hAnsi="Verdana"/>
          <w:sz w:val="22"/>
          <w:szCs w:val="22"/>
          <w:lang w:val="es-MX"/>
        </w:rPr>
        <w:t>ción Pública. Lo anterior pues s</w:t>
      </w:r>
      <w:r w:rsidRPr="00DF5296">
        <w:rPr>
          <w:rFonts w:ascii="Verdana" w:hAnsi="Verdana"/>
          <w:sz w:val="22"/>
          <w:szCs w:val="22"/>
          <w:lang w:val="es-MX"/>
        </w:rPr>
        <w:t>e omite los procedimientos o parámetros de medición para la validación en campo de la información obtenida por medios electrónicos;  se exige una puntuación de 86 puntos contrario a la norma reglamentaria y la costumbre en violación a los artículos 6 y 10 de la Ley  General de la Administración Pública, se realizaron una serie de obse</w:t>
      </w:r>
      <w:r>
        <w:rPr>
          <w:rFonts w:ascii="Verdana" w:hAnsi="Verdana"/>
          <w:sz w:val="22"/>
          <w:szCs w:val="22"/>
          <w:lang w:val="es-MX"/>
        </w:rPr>
        <w:t>rvaciones y el Consejo no brindó</w:t>
      </w:r>
      <w:r w:rsidRPr="00DF5296">
        <w:rPr>
          <w:rFonts w:ascii="Verdana" w:hAnsi="Verdana"/>
          <w:sz w:val="22"/>
          <w:szCs w:val="22"/>
          <w:lang w:val="es-MX"/>
        </w:rPr>
        <w:t xml:space="preserve"> ninguna explicación para su exclusión entre otros puntos ya indicados con anterioridad, lo que de conformidad con los numerales 158, 162 y 166 de la Ley General de la Administración Pública el acto es nulo y así debe declarase, además de la violación a normas que regulan la discrecionalidad administrativa artículos 11, 15 y 16 de la LAGP y jurisprudencia tanto administrativa de la Procuraduría General de la República como de los Tribunales de Justicia.</w:t>
      </w:r>
    </w:p>
    <w:p w:rsidR="00355FEB" w:rsidRPr="00DF5296" w:rsidRDefault="00355FEB" w:rsidP="00355FEB">
      <w:pPr>
        <w:jc w:val="both"/>
        <w:rPr>
          <w:rFonts w:ascii="Verdana" w:hAnsi="Verdana"/>
          <w:b/>
          <w:sz w:val="22"/>
          <w:szCs w:val="22"/>
        </w:rPr>
      </w:pPr>
    </w:p>
    <w:p w:rsidR="00355FEB" w:rsidRPr="00DF5296" w:rsidRDefault="00355FEB" w:rsidP="00355FEB">
      <w:pPr>
        <w:jc w:val="both"/>
        <w:rPr>
          <w:rFonts w:ascii="Verdana" w:hAnsi="Verdana"/>
          <w:b/>
          <w:sz w:val="22"/>
          <w:szCs w:val="22"/>
        </w:rPr>
      </w:pPr>
      <w:r w:rsidRPr="00DF5296">
        <w:rPr>
          <w:rFonts w:ascii="Verdana" w:hAnsi="Verdana"/>
          <w:b/>
          <w:sz w:val="22"/>
          <w:szCs w:val="22"/>
        </w:rPr>
        <w:t>POTESTADES DEL CONSEJO DE TRANSPORTE PÚBLICO.</w:t>
      </w:r>
    </w:p>
    <w:p w:rsidR="00355FEB" w:rsidRPr="00DF5296" w:rsidRDefault="00355FEB" w:rsidP="00355FEB">
      <w:pPr>
        <w:jc w:val="both"/>
        <w:rPr>
          <w:rFonts w:ascii="Verdana" w:hAnsi="Verdana"/>
          <w:sz w:val="22"/>
          <w:szCs w:val="22"/>
        </w:rPr>
      </w:pPr>
    </w:p>
    <w:p w:rsidR="00355FEB" w:rsidRPr="00DF5296" w:rsidRDefault="00355FEB" w:rsidP="00355FEB">
      <w:pPr>
        <w:jc w:val="both"/>
        <w:rPr>
          <w:rFonts w:ascii="Verdana" w:hAnsi="Verdana"/>
          <w:sz w:val="22"/>
          <w:szCs w:val="22"/>
        </w:rPr>
      </w:pPr>
      <w:r w:rsidRPr="00DF5296">
        <w:rPr>
          <w:rFonts w:ascii="Verdana" w:hAnsi="Verdana"/>
          <w:sz w:val="22"/>
          <w:szCs w:val="22"/>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rsidR="00355FEB" w:rsidRPr="00DF5296" w:rsidRDefault="00355FEB" w:rsidP="00355FEB">
      <w:pPr>
        <w:jc w:val="both"/>
        <w:rPr>
          <w:rFonts w:ascii="Verdana" w:hAnsi="Verdana"/>
          <w:sz w:val="22"/>
          <w:szCs w:val="22"/>
        </w:rPr>
      </w:pPr>
    </w:p>
    <w:p w:rsidR="00355FEB" w:rsidRPr="00DF5296" w:rsidRDefault="00355FEB" w:rsidP="00355FEB">
      <w:pPr>
        <w:jc w:val="both"/>
        <w:rPr>
          <w:rFonts w:ascii="Verdana" w:hAnsi="Verdana"/>
          <w:sz w:val="22"/>
          <w:szCs w:val="22"/>
          <w:lang w:val="es-MX"/>
        </w:rPr>
      </w:pPr>
      <w:r w:rsidRPr="00DF5296">
        <w:rPr>
          <w:rFonts w:ascii="Verdana" w:hAnsi="Verdana"/>
          <w:sz w:val="22"/>
          <w:szCs w:val="22"/>
        </w:rPr>
        <w:t>El artículo 2 de la Ley Reguladora del Transporte Remunerado de Personas en Vehículos Automotores, del 10 de mayo de 1965, Ley 3503, establece:</w:t>
      </w:r>
    </w:p>
    <w:p w:rsidR="00355FEB" w:rsidRPr="00DF5296" w:rsidRDefault="00355FEB" w:rsidP="00355FEB">
      <w:pPr>
        <w:jc w:val="both"/>
        <w:rPr>
          <w:rFonts w:ascii="Verdana" w:hAnsi="Verdana"/>
          <w:sz w:val="22"/>
          <w:szCs w:val="22"/>
          <w:lang w:val="es-MX"/>
        </w:rPr>
      </w:pPr>
    </w:p>
    <w:p w:rsidR="00355FEB" w:rsidRPr="00DF5296" w:rsidRDefault="00355FEB" w:rsidP="00355FEB">
      <w:pPr>
        <w:ind w:left="567" w:right="567"/>
        <w:jc w:val="both"/>
        <w:rPr>
          <w:rFonts w:ascii="Verdana" w:hAnsi="Verdana"/>
          <w:b/>
          <w:i/>
          <w:sz w:val="22"/>
          <w:szCs w:val="22"/>
          <w:lang w:val="es-MX"/>
        </w:rPr>
      </w:pPr>
      <w:r w:rsidRPr="00DF5296">
        <w:rPr>
          <w:rFonts w:ascii="Verdana" w:hAnsi="Verdana"/>
          <w:b/>
          <w:i/>
          <w:sz w:val="22"/>
          <w:szCs w:val="22"/>
          <w:lang w:val="es-MX"/>
        </w:rPr>
        <w:t xml:space="preserve">“Es competencia del Ministerio de Obras Públicas y Transportes lo relativo al Tránsito y Transporte automotor de personas en el país…”  </w:t>
      </w:r>
      <w:r w:rsidRPr="00DF5296">
        <w:rPr>
          <w:rFonts w:ascii="Verdana" w:hAnsi="Verdana"/>
          <w:sz w:val="22"/>
          <w:szCs w:val="22"/>
          <w:lang w:val="es-MX"/>
        </w:rPr>
        <w:t>(De conformidad con la Ley 7969, debe entenderse Consejo de Transporte Público)</w:t>
      </w:r>
    </w:p>
    <w:p w:rsidR="00355FEB" w:rsidRPr="00DF5296" w:rsidRDefault="00355FEB" w:rsidP="00355FEB">
      <w:pPr>
        <w:jc w:val="both"/>
        <w:rPr>
          <w:rFonts w:ascii="Verdana" w:hAnsi="Verdana"/>
          <w:sz w:val="22"/>
          <w:szCs w:val="22"/>
        </w:rPr>
      </w:pPr>
    </w:p>
    <w:p w:rsidR="00355FEB" w:rsidRPr="00DF5296" w:rsidRDefault="00355FEB" w:rsidP="00355FEB">
      <w:pPr>
        <w:jc w:val="both"/>
        <w:rPr>
          <w:rFonts w:ascii="Verdana" w:hAnsi="Verdana"/>
          <w:b/>
          <w:sz w:val="22"/>
          <w:szCs w:val="22"/>
          <w:lang w:val="es-MX"/>
        </w:rPr>
      </w:pPr>
      <w:r w:rsidRPr="00DF5296">
        <w:rPr>
          <w:rFonts w:ascii="Verdana" w:hAnsi="Verdana"/>
          <w:sz w:val="22"/>
          <w:szCs w:val="22"/>
        </w:rPr>
        <w:t>La Ley Reguladora del Servicio Público de Transporte Remunerado de Personas en Vehículos en la Modalidad de Taxi, N. 7969</w:t>
      </w:r>
    </w:p>
    <w:p w:rsidR="00355FEB" w:rsidRPr="00DF5296" w:rsidRDefault="00355FEB" w:rsidP="00355FEB">
      <w:pPr>
        <w:pStyle w:val="NormalWeb"/>
        <w:ind w:left="567" w:right="567"/>
        <w:jc w:val="both"/>
        <w:rPr>
          <w:rFonts w:ascii="Verdana" w:hAnsi="Verdana"/>
          <w:i/>
          <w:sz w:val="22"/>
          <w:szCs w:val="22"/>
        </w:rPr>
      </w:pPr>
      <w:r w:rsidRPr="00DF5296">
        <w:rPr>
          <w:rFonts w:ascii="Verdana" w:hAnsi="Verdana"/>
          <w:i/>
          <w:sz w:val="22"/>
          <w:szCs w:val="22"/>
        </w:rPr>
        <w:t>“ARTÍCULO 7.- Atribuciones del Consejo</w:t>
      </w:r>
    </w:p>
    <w:p w:rsidR="00355FEB" w:rsidRPr="00DF5296" w:rsidRDefault="00355FEB" w:rsidP="00355FEB">
      <w:pPr>
        <w:pStyle w:val="NormalWeb"/>
        <w:ind w:left="567" w:right="567"/>
        <w:jc w:val="both"/>
        <w:rPr>
          <w:rFonts w:ascii="Verdana" w:hAnsi="Verdana"/>
          <w:i/>
          <w:sz w:val="22"/>
          <w:szCs w:val="22"/>
        </w:rPr>
      </w:pPr>
      <w:r w:rsidRPr="00DF5296">
        <w:rPr>
          <w:rFonts w:ascii="Verdana" w:hAnsi="Verdana"/>
          <w:i/>
          <w:sz w:val="22"/>
          <w:szCs w:val="22"/>
        </w:rPr>
        <w:t>El Consejo, en el ejercicio de sus competencias, tendrá las siguientes atribuciones:</w:t>
      </w:r>
    </w:p>
    <w:p w:rsidR="00355FEB" w:rsidRPr="00DF5296" w:rsidRDefault="00355FEB" w:rsidP="00355FEB">
      <w:pPr>
        <w:pStyle w:val="NormalWeb"/>
        <w:ind w:left="567" w:right="567"/>
        <w:jc w:val="both"/>
        <w:rPr>
          <w:rFonts w:ascii="Verdana" w:hAnsi="Verdana"/>
          <w:i/>
          <w:sz w:val="22"/>
          <w:szCs w:val="22"/>
        </w:rPr>
      </w:pPr>
      <w:r w:rsidRPr="00DF5296">
        <w:rPr>
          <w:rFonts w:ascii="Verdana" w:hAnsi="Verdana"/>
          <w:i/>
          <w:sz w:val="22"/>
          <w:szCs w:val="22"/>
        </w:rPr>
        <w:t xml:space="preserve">a) </w:t>
      </w:r>
      <w:r w:rsidRPr="00DF5296">
        <w:rPr>
          <w:rFonts w:ascii="Verdana" w:hAnsi="Verdana"/>
          <w:b/>
          <w:i/>
          <w:sz w:val="22"/>
          <w:szCs w:val="22"/>
        </w:rPr>
        <w:t>Coordinar la aplicación correcta de las políticas de transporte público</w:t>
      </w:r>
      <w:r w:rsidRPr="00DF5296">
        <w:rPr>
          <w:rFonts w:ascii="Verdana" w:hAnsi="Verdana"/>
          <w:i/>
          <w:sz w:val="22"/>
          <w:szCs w:val="22"/>
        </w:rPr>
        <w:t>, su planeamiento, la revisión técnica, el otorgamiento y la administración de las concesiones, así como la regulación de los permisos que legalmente procedan.</w:t>
      </w:r>
    </w:p>
    <w:p w:rsidR="00355FEB" w:rsidRPr="00DF5296" w:rsidRDefault="00355FEB" w:rsidP="00355FEB">
      <w:pPr>
        <w:pStyle w:val="NormalWeb"/>
        <w:ind w:left="567" w:right="567"/>
        <w:jc w:val="both"/>
        <w:rPr>
          <w:rFonts w:ascii="Verdana" w:hAnsi="Verdana"/>
          <w:i/>
          <w:sz w:val="22"/>
          <w:szCs w:val="22"/>
        </w:rPr>
      </w:pPr>
      <w:r w:rsidRPr="00DF5296">
        <w:rPr>
          <w:rFonts w:ascii="Verdana" w:hAnsi="Verdana"/>
          <w:i/>
          <w:sz w:val="22"/>
          <w:szCs w:val="22"/>
        </w:rPr>
        <w:t xml:space="preserve">b) Estudiar y emitir opinión sobre los asuntos sometidos a su conocimiento por cualquier dependencia o institución involucrada </w:t>
      </w:r>
      <w:r w:rsidRPr="00DF5296">
        <w:rPr>
          <w:rFonts w:ascii="Verdana" w:hAnsi="Verdana"/>
          <w:i/>
          <w:sz w:val="22"/>
          <w:szCs w:val="22"/>
        </w:rPr>
        <w:lastRenderedPageBreak/>
        <w:t>en servicios de transporte público, planeamiento, revisión técnica, administración y otorgamiento de concesiones y permisos.</w:t>
      </w:r>
    </w:p>
    <w:p w:rsidR="00355FEB" w:rsidRPr="00DF5296" w:rsidRDefault="00355FEB" w:rsidP="00355FEB">
      <w:pPr>
        <w:pStyle w:val="NormalWeb"/>
        <w:ind w:left="567" w:right="567"/>
        <w:jc w:val="both"/>
        <w:rPr>
          <w:rFonts w:ascii="Verdana" w:hAnsi="Verdana"/>
          <w:i/>
          <w:sz w:val="22"/>
          <w:szCs w:val="22"/>
        </w:rPr>
      </w:pPr>
      <w:r w:rsidRPr="00DF5296">
        <w:rPr>
          <w:rFonts w:ascii="Verdana" w:hAnsi="Verdana"/>
          <w:i/>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355FEB" w:rsidRPr="00DF5296" w:rsidRDefault="00355FEB" w:rsidP="00355FEB">
      <w:pPr>
        <w:pStyle w:val="NormalWeb"/>
        <w:ind w:left="567" w:right="567"/>
        <w:jc w:val="both"/>
        <w:rPr>
          <w:rFonts w:ascii="Verdana" w:hAnsi="Verdana"/>
          <w:i/>
          <w:sz w:val="22"/>
          <w:szCs w:val="22"/>
        </w:rPr>
      </w:pPr>
      <w:r w:rsidRPr="00DF5296">
        <w:rPr>
          <w:rFonts w:ascii="Verdana" w:hAnsi="Verdana"/>
          <w:i/>
          <w:sz w:val="22"/>
          <w:szCs w:val="22"/>
        </w:rPr>
        <w:t xml:space="preserve">d) </w:t>
      </w:r>
      <w:r w:rsidRPr="00DF5296">
        <w:rPr>
          <w:rFonts w:ascii="Verdana" w:hAnsi="Verdana"/>
          <w:b/>
          <w:i/>
          <w:sz w:val="22"/>
          <w:szCs w:val="22"/>
        </w:rPr>
        <w:t>Establecer y recomendar normas, procedimientos y acciones que puedan mejorar las políticas y directrices en materia de transporte público, planeamiento, revisión técnica, administración y otorgamiento de concesiones y permisos</w:t>
      </w:r>
      <w:r w:rsidRPr="00DF5296">
        <w:rPr>
          <w:rFonts w:ascii="Verdana" w:hAnsi="Verdana"/>
          <w:i/>
          <w:sz w:val="22"/>
          <w:szCs w:val="22"/>
        </w:rPr>
        <w:t>.</w:t>
      </w:r>
    </w:p>
    <w:p w:rsidR="00355FEB" w:rsidRPr="00DF5296" w:rsidRDefault="00355FEB" w:rsidP="00355FEB">
      <w:pPr>
        <w:pStyle w:val="NormalWeb"/>
        <w:ind w:left="567" w:right="567"/>
        <w:jc w:val="both"/>
        <w:rPr>
          <w:rFonts w:ascii="Verdana" w:hAnsi="Verdana"/>
          <w:i/>
          <w:sz w:val="22"/>
          <w:szCs w:val="22"/>
        </w:rPr>
      </w:pPr>
      <w:r w:rsidRPr="00DF5296">
        <w:rPr>
          <w:rFonts w:ascii="Verdana" w:hAnsi="Verdana"/>
          <w:i/>
          <w:sz w:val="22"/>
          <w:szCs w:val="22"/>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355FEB" w:rsidRPr="00DF5296" w:rsidRDefault="00355FEB" w:rsidP="00355FEB">
      <w:pPr>
        <w:pStyle w:val="NormalWeb"/>
        <w:ind w:left="567" w:right="567"/>
        <w:jc w:val="both"/>
        <w:rPr>
          <w:rFonts w:ascii="Verdana" w:hAnsi="Verdana"/>
          <w:i/>
          <w:sz w:val="22"/>
          <w:szCs w:val="22"/>
        </w:rPr>
      </w:pPr>
      <w:r w:rsidRPr="00DF5296">
        <w:rPr>
          <w:rFonts w:ascii="Verdana" w:hAnsi="Verdana"/>
          <w:i/>
          <w:sz w:val="22"/>
          <w:szCs w:val="22"/>
        </w:rPr>
        <w:t>f) Conocer, tramitar y resolver, de oficio o a instancia de parte, las denuncias referentes a los comportamientos activos y omisos que violen las normas de la legislación del transporte público o amenacen con violarlas.</w:t>
      </w:r>
    </w:p>
    <w:p w:rsidR="00355FEB" w:rsidRPr="00DF5296" w:rsidRDefault="00355FEB" w:rsidP="00355FEB">
      <w:pPr>
        <w:pStyle w:val="NormalWeb"/>
        <w:ind w:left="567" w:right="567"/>
        <w:jc w:val="both"/>
        <w:rPr>
          <w:rFonts w:ascii="Verdana" w:hAnsi="Verdana"/>
          <w:i/>
          <w:sz w:val="22"/>
          <w:szCs w:val="22"/>
        </w:rPr>
      </w:pPr>
      <w:r w:rsidRPr="00DF5296">
        <w:rPr>
          <w:rFonts w:ascii="Verdana" w:hAnsi="Verdana"/>
          <w:i/>
          <w:sz w:val="22"/>
          <w:szCs w:val="22"/>
        </w:rPr>
        <w:t>g) Preparar un plan estratégico cuyo objetivo esencial sea organizar, legal, técnica y administrativamente, el funcionamiento de un plan de desarrollo tecnológico en materia de transporte público.</w:t>
      </w:r>
    </w:p>
    <w:p w:rsidR="00355FEB" w:rsidRPr="00DF5296" w:rsidRDefault="00355FEB" w:rsidP="00355FEB">
      <w:pPr>
        <w:pStyle w:val="NormalWeb"/>
        <w:ind w:left="567" w:right="567"/>
        <w:jc w:val="both"/>
        <w:rPr>
          <w:rFonts w:ascii="Verdana" w:hAnsi="Verdana"/>
          <w:i/>
          <w:sz w:val="22"/>
          <w:szCs w:val="22"/>
        </w:rPr>
      </w:pPr>
      <w:r w:rsidRPr="00DF5296">
        <w:rPr>
          <w:rFonts w:ascii="Verdana" w:hAnsi="Verdana"/>
          <w:i/>
          <w:sz w:val="22"/>
          <w:szCs w:val="22"/>
        </w:rPr>
        <w:t>h) Promover el desarrollo y la capacitación del recurso humano involucrado en la actividad, en concordancia con los requerimientos de un sistema moderno de transporte público.</w:t>
      </w:r>
    </w:p>
    <w:p w:rsidR="00355FEB" w:rsidRPr="00DF5296" w:rsidRDefault="00355FEB" w:rsidP="00355FEB">
      <w:pPr>
        <w:pStyle w:val="NormalWeb"/>
        <w:ind w:left="567" w:right="567"/>
        <w:jc w:val="both"/>
        <w:rPr>
          <w:rFonts w:ascii="Verdana" w:hAnsi="Verdana"/>
          <w:i/>
          <w:sz w:val="22"/>
          <w:szCs w:val="22"/>
        </w:rPr>
      </w:pPr>
      <w:r w:rsidRPr="00DF5296">
        <w:rPr>
          <w:rFonts w:ascii="Verdana" w:hAnsi="Verdana"/>
          <w:i/>
          <w:sz w:val="22"/>
          <w:szCs w:val="22"/>
        </w:rPr>
        <w:t>i) Fijar las paradas terminales e intermedias de todos los servicios (El resaltado es nuestro)</w:t>
      </w:r>
    </w:p>
    <w:p w:rsidR="00355FEB" w:rsidRPr="00DF5296" w:rsidRDefault="00355FEB" w:rsidP="00355FEB">
      <w:pPr>
        <w:tabs>
          <w:tab w:val="left" w:pos="-720"/>
        </w:tabs>
        <w:suppressAutoHyphens/>
        <w:jc w:val="both"/>
        <w:rPr>
          <w:rFonts w:ascii="Verdana" w:hAnsi="Verdana"/>
          <w:spacing w:val="-3"/>
          <w:sz w:val="22"/>
          <w:szCs w:val="22"/>
        </w:rPr>
      </w:pPr>
    </w:p>
    <w:p w:rsidR="00355FEB" w:rsidRPr="00DF5296" w:rsidRDefault="00355FEB" w:rsidP="00355FEB">
      <w:pPr>
        <w:pStyle w:val="NormalWeb"/>
        <w:ind w:right="-1"/>
        <w:jc w:val="both"/>
        <w:rPr>
          <w:rFonts w:ascii="Verdana" w:hAnsi="Verdana" w:cs="Arial"/>
          <w:iCs/>
          <w:color w:val="000000"/>
          <w:sz w:val="22"/>
          <w:szCs w:val="22"/>
        </w:rPr>
      </w:pPr>
      <w:r w:rsidRPr="00DF5296">
        <w:rPr>
          <w:rFonts w:ascii="Verdana" w:hAnsi="Verdana" w:cs="Arial"/>
          <w:iCs/>
          <w:color w:val="000000"/>
          <w:sz w:val="22"/>
          <w:szCs w:val="22"/>
        </w:rPr>
        <w:t xml:space="preserve">La Sala Constitucional del Poder Judicial, ha señalado que el desarrollo de los contratos que se efectúen con el Estado </w:t>
      </w:r>
      <w:r w:rsidRPr="00DF5296">
        <w:rPr>
          <w:rFonts w:ascii="Verdana" w:hAnsi="Verdana"/>
          <w:color w:val="000000"/>
          <w:sz w:val="22"/>
          <w:szCs w:val="22"/>
        </w:rPr>
        <w:t>se dan bajo las regulaciones</w:t>
      </w:r>
      <w:r w:rsidRPr="00DF5296">
        <w:rPr>
          <w:rFonts w:ascii="Verdana" w:hAnsi="Verdana" w:cs="Arial"/>
          <w:iCs/>
          <w:color w:val="000000"/>
          <w:sz w:val="22"/>
          <w:szCs w:val="22"/>
        </w:rPr>
        <w:t xml:space="preserve"> del Derecho Público; indica la Sala:</w:t>
      </w:r>
      <w:r w:rsidRPr="00DF5296">
        <w:rPr>
          <w:rFonts w:ascii="Verdana" w:hAnsi="Verdana"/>
          <w:color w:val="000000"/>
          <w:sz w:val="22"/>
          <w:szCs w:val="22"/>
        </w:rPr>
        <w:t xml:space="preserve"> </w:t>
      </w:r>
    </w:p>
    <w:p w:rsidR="00355FEB" w:rsidRPr="00DF5296" w:rsidRDefault="00355FEB" w:rsidP="00355FEB">
      <w:pPr>
        <w:pStyle w:val="NormalWeb"/>
        <w:ind w:left="567" w:right="566"/>
        <w:jc w:val="both"/>
        <w:rPr>
          <w:rFonts w:ascii="Verdana" w:hAnsi="Verdana"/>
          <w:i/>
          <w:color w:val="000000"/>
          <w:sz w:val="22"/>
          <w:szCs w:val="22"/>
        </w:rPr>
      </w:pPr>
      <w:r w:rsidRPr="00DF5296">
        <w:rPr>
          <w:rFonts w:ascii="Verdana" w:hAnsi="Verdana"/>
          <w:b/>
          <w:bCs/>
          <w:i/>
          <w:color w:val="000000"/>
          <w:sz w:val="22"/>
          <w:szCs w:val="22"/>
        </w:rPr>
        <w:t>“DE LA SUBORDINACIÓN AL DERECHO PÚBLICO Y POTESTADES DE IMPERIO DE LA ADMINISTRACIÓN.</w:t>
      </w:r>
      <w:r w:rsidRPr="00DF5296">
        <w:rPr>
          <w:rFonts w:ascii="Verdana" w:hAnsi="Verdana"/>
          <w:i/>
          <w:color w:val="000000"/>
          <w:sz w:val="22"/>
          <w:szCs w:val="22"/>
        </w:rPr>
        <w:t xml:space="preserve"> A partir de la anterior definición, es que </w:t>
      </w:r>
      <w:r w:rsidRPr="00DF5296">
        <w:rPr>
          <w:rFonts w:ascii="Verdana" w:hAnsi="Verdana"/>
          <w:b/>
          <w:i/>
          <w:color w:val="000000"/>
          <w:sz w:val="22"/>
          <w:szCs w:val="22"/>
          <w:u w:val="single"/>
        </w:rPr>
        <w:t xml:space="preserve">pueden determinarse dos </w:t>
      </w:r>
      <w:r w:rsidRPr="00DF5296">
        <w:rPr>
          <w:rFonts w:ascii="Verdana" w:hAnsi="Verdana"/>
          <w:b/>
          <w:i/>
          <w:color w:val="000000"/>
          <w:sz w:val="22"/>
          <w:szCs w:val="22"/>
          <w:u w:val="single"/>
        </w:rPr>
        <w:lastRenderedPageBreak/>
        <w:t>elementos determinantes de los servicios públicos.</w:t>
      </w:r>
      <w:r w:rsidRPr="00DF5296">
        <w:rPr>
          <w:rFonts w:ascii="Verdana" w:hAnsi="Verdana"/>
          <w:i/>
          <w:color w:val="000000"/>
          <w:sz w:val="22"/>
          <w:szCs w:val="22"/>
        </w:rPr>
        <w:t xml:space="preserve"> Para algunos, lo esencial es el fin perseguido, teniendo por tal, la satisfacción de la necesidad o del interés general, para cuyo fin fue creado, sea a través de la Administración o por intermedio de los particulares (concesionarios), </w:t>
      </w:r>
      <w:proofErr w:type="gramStart"/>
      <w:r w:rsidRPr="00DF5296">
        <w:rPr>
          <w:rFonts w:ascii="Verdana" w:hAnsi="Verdana"/>
          <w:i/>
          <w:color w:val="000000"/>
          <w:sz w:val="22"/>
          <w:szCs w:val="22"/>
        </w:rPr>
        <w:t>que</w:t>
      </w:r>
      <w:proofErr w:type="gramEnd"/>
      <w:r w:rsidRPr="00DF5296">
        <w:rPr>
          <w:rFonts w:ascii="Verdana" w:hAnsi="Verdana"/>
          <w:i/>
          <w:color w:val="000000"/>
          <w:sz w:val="22"/>
          <w:szCs w:val="22"/>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sidRPr="00DF5296">
        <w:rPr>
          <w:rFonts w:ascii="Verdana" w:hAnsi="Verdana"/>
          <w:i/>
          <w:color w:val="000000"/>
          <w:sz w:val="22"/>
          <w:szCs w:val="22"/>
        </w:rPr>
        <w:t>aún</w:t>
      </w:r>
      <w:proofErr w:type="spellEnd"/>
      <w:r w:rsidRPr="00DF5296">
        <w:rPr>
          <w:rFonts w:ascii="Verdana" w:hAnsi="Verdana"/>
          <w:i/>
          <w:color w:val="000000"/>
          <w:sz w:val="22"/>
          <w:szCs w:val="22"/>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Pr="00DF5296">
        <w:rPr>
          <w:rFonts w:ascii="Verdana" w:hAnsi="Verdana"/>
          <w:i/>
          <w:color w:val="000000"/>
          <w:sz w:val="22"/>
          <w:szCs w:val="22"/>
        </w:rPr>
        <w:t>que</w:t>
      </w:r>
      <w:proofErr w:type="gramEnd"/>
      <w:r w:rsidRPr="00DF5296">
        <w:rPr>
          <w:rFonts w:ascii="Verdana" w:hAnsi="Verdana"/>
          <w:i/>
          <w:color w:val="000000"/>
          <w:sz w:val="22"/>
          <w:szCs w:val="22"/>
        </w:rPr>
        <w:t xml:space="preserve"> en virtud del contrato, el concesionario queda sujeto (o subordinado a la Administración): </w:t>
      </w:r>
    </w:p>
    <w:p w:rsidR="00355FEB" w:rsidRPr="00DF5296" w:rsidRDefault="00355FEB" w:rsidP="00355FEB">
      <w:pPr>
        <w:pStyle w:val="NormalWeb"/>
        <w:ind w:left="567" w:right="566"/>
        <w:jc w:val="both"/>
        <w:rPr>
          <w:rFonts w:ascii="Verdana" w:hAnsi="Verdana"/>
          <w:i/>
          <w:color w:val="000000"/>
          <w:sz w:val="22"/>
          <w:szCs w:val="22"/>
        </w:rPr>
      </w:pPr>
      <w:r w:rsidRPr="00DF5296">
        <w:rPr>
          <w:rFonts w:ascii="Verdana" w:hAnsi="Verdana"/>
          <w:i/>
          <w:color w:val="000000"/>
          <w:sz w:val="22"/>
          <w:szCs w:val="22"/>
        </w:rPr>
        <w:t xml:space="preserve">"Es así como ésta [la Administración], dentro de ciertos límites, puede ejercer sobre su </w:t>
      </w:r>
      <w:proofErr w:type="spellStart"/>
      <w:r w:rsidRPr="00DF5296">
        <w:rPr>
          <w:rFonts w:ascii="Verdana" w:hAnsi="Verdana"/>
          <w:i/>
          <w:color w:val="000000"/>
          <w:sz w:val="22"/>
          <w:szCs w:val="22"/>
        </w:rPr>
        <w:t>cocontratante</w:t>
      </w:r>
      <w:proofErr w:type="spellEnd"/>
      <w:r w:rsidRPr="00DF5296">
        <w:rPr>
          <w:rFonts w:ascii="Verdana" w:hAnsi="Verdana"/>
          <w:i/>
          <w:color w:val="000000"/>
          <w:sz w:val="22"/>
          <w:szCs w:val="22"/>
        </w:rPr>
        <w:t xml:space="preserve"> un cierto control de alcance excepcional; puede modificar unilateralmente las cláusulas del contrato; puede dar directrices a la otra parte; incluso puede declarar extinguido el contrato; etc. </w:t>
      </w:r>
      <w:proofErr w:type="spellStart"/>
      <w:r w:rsidRPr="00DF5296">
        <w:rPr>
          <w:rFonts w:ascii="Verdana" w:hAnsi="Verdana"/>
          <w:i/>
          <w:color w:val="000000"/>
          <w:sz w:val="22"/>
          <w:szCs w:val="22"/>
        </w:rPr>
        <w:t>Trátase</w:t>
      </w:r>
      <w:proofErr w:type="spellEnd"/>
      <w:r w:rsidRPr="00DF5296">
        <w:rPr>
          <w:rFonts w:ascii="Verdana" w:hAnsi="Verdana"/>
          <w:i/>
          <w:color w:val="000000"/>
          <w:sz w:val="22"/>
          <w:szCs w:val="22"/>
        </w:rPr>
        <w:t xml:space="preserv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355FEB" w:rsidRPr="00DF5296" w:rsidRDefault="00355FEB" w:rsidP="00355FEB">
      <w:pPr>
        <w:ind w:left="567" w:right="566"/>
        <w:jc w:val="both"/>
        <w:rPr>
          <w:rFonts w:ascii="Verdana" w:hAnsi="Verdana"/>
          <w:sz w:val="22"/>
          <w:szCs w:val="22"/>
        </w:rPr>
      </w:pPr>
      <w:r w:rsidRPr="00DF5296">
        <w:rPr>
          <w:rFonts w:ascii="Verdana" w:hAnsi="Verdana"/>
          <w:i/>
          <w:color w:val="000000"/>
          <w:sz w:val="22"/>
          <w:szCs w:val="22"/>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DF5296">
        <w:rPr>
          <w:rFonts w:ascii="Verdana" w:hAnsi="Verdana"/>
          <w:b/>
          <w:i/>
          <w:color w:val="000000"/>
          <w:sz w:val="22"/>
          <w:szCs w:val="22"/>
          <w:u w:val="single"/>
        </w:rPr>
        <w:t>Por su parte, el control ejercido sobre los servicios públicos es diferente en su fundamento y finalidad, toda vez que a través de él se intenta garantizar la continuidad en la prestación del servicio público.</w:t>
      </w:r>
      <w:r w:rsidRPr="00DF5296">
        <w:rPr>
          <w:rFonts w:ascii="Verdana" w:hAnsi="Verdana"/>
          <w:i/>
          <w:color w:val="000000"/>
          <w:sz w:val="22"/>
          <w:szCs w:val="22"/>
        </w:rPr>
        <w:t xml:space="preserve"> Como su esencia es fundamentalmente pública -al referirse a actividades que se ubican en el campo del Derecho Público-, su control es más intenso y riguroso, al pretender impedir que la actividad </w:t>
      </w:r>
      <w:r w:rsidRPr="00DF5296">
        <w:rPr>
          <w:rFonts w:ascii="Verdana" w:hAnsi="Verdana"/>
          <w:i/>
          <w:color w:val="000000"/>
          <w:sz w:val="22"/>
          <w:szCs w:val="22"/>
        </w:rPr>
        <w:lastRenderedPageBreak/>
        <w:t>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sidRPr="00DF5296">
        <w:rPr>
          <w:rFonts w:ascii="Verdana" w:hAnsi="Verdana"/>
          <w:color w:val="000000"/>
          <w:sz w:val="22"/>
          <w:szCs w:val="22"/>
        </w:rPr>
        <w:t xml:space="preserve"> (Lo resaltado no es del original)</w:t>
      </w:r>
      <w:r w:rsidRPr="00DF5296">
        <w:rPr>
          <w:rFonts w:ascii="Verdana" w:hAnsi="Verdana"/>
          <w:sz w:val="22"/>
          <w:szCs w:val="22"/>
        </w:rPr>
        <w:t xml:space="preserve"> (SENTENCIA: N. 2001-09676, de 26-09-01 de las 11:25, SALA CONSTITUCIONAL)</w:t>
      </w:r>
    </w:p>
    <w:p w:rsidR="00355FEB" w:rsidRPr="00DF5296" w:rsidRDefault="00355FEB" w:rsidP="00355FEB">
      <w:pPr>
        <w:tabs>
          <w:tab w:val="center" w:pos="4608"/>
        </w:tabs>
        <w:suppressAutoHyphens/>
        <w:jc w:val="both"/>
        <w:rPr>
          <w:rFonts w:ascii="Verdana" w:hAnsi="Verdana"/>
          <w:sz w:val="22"/>
          <w:szCs w:val="22"/>
        </w:rPr>
      </w:pPr>
    </w:p>
    <w:p w:rsidR="00355FEB" w:rsidRPr="00DF5296" w:rsidRDefault="00355FEB" w:rsidP="00355FEB">
      <w:pPr>
        <w:jc w:val="both"/>
        <w:rPr>
          <w:rFonts w:ascii="Verdana" w:hAnsi="Verdana"/>
          <w:i/>
          <w:sz w:val="22"/>
          <w:szCs w:val="22"/>
        </w:rPr>
      </w:pPr>
    </w:p>
    <w:p w:rsidR="00355FEB" w:rsidRPr="00DF5296" w:rsidRDefault="00355FEB" w:rsidP="00355FEB">
      <w:pPr>
        <w:autoSpaceDE w:val="0"/>
        <w:autoSpaceDN w:val="0"/>
        <w:adjustRightInd w:val="0"/>
        <w:jc w:val="both"/>
        <w:rPr>
          <w:rFonts w:ascii="Verdana" w:hAnsi="Verdana"/>
          <w:bCs/>
          <w:sz w:val="22"/>
          <w:szCs w:val="22"/>
          <w:lang w:val="es-MX"/>
        </w:rPr>
      </w:pPr>
      <w:r w:rsidRPr="00DF5296">
        <w:rPr>
          <w:rFonts w:ascii="Verdana" w:hAnsi="Verdana"/>
          <w:b/>
          <w:bCs/>
          <w:sz w:val="22"/>
          <w:szCs w:val="22"/>
          <w:lang w:val="es-MX"/>
        </w:rPr>
        <w:t>DEL PRINCIPIO DE LEGALIDAD</w:t>
      </w:r>
    </w:p>
    <w:p w:rsidR="00355FEB" w:rsidRPr="00DF5296" w:rsidRDefault="00355FEB" w:rsidP="00355FEB">
      <w:pPr>
        <w:autoSpaceDE w:val="0"/>
        <w:autoSpaceDN w:val="0"/>
        <w:adjustRightInd w:val="0"/>
        <w:jc w:val="both"/>
        <w:rPr>
          <w:rFonts w:ascii="Verdana" w:hAnsi="Verdana"/>
          <w:bCs/>
          <w:sz w:val="22"/>
          <w:szCs w:val="22"/>
          <w:lang w:val="es-MX"/>
        </w:rPr>
      </w:pPr>
    </w:p>
    <w:p w:rsidR="00355FEB" w:rsidRPr="00DF5296" w:rsidRDefault="00355FEB" w:rsidP="00355FEB">
      <w:pPr>
        <w:autoSpaceDE w:val="0"/>
        <w:autoSpaceDN w:val="0"/>
        <w:adjustRightInd w:val="0"/>
        <w:jc w:val="both"/>
        <w:rPr>
          <w:rFonts w:ascii="Verdana" w:hAnsi="Verdana"/>
          <w:bCs/>
          <w:sz w:val="22"/>
          <w:szCs w:val="22"/>
          <w:lang w:val="es-MX"/>
        </w:rPr>
      </w:pPr>
      <w:r w:rsidRPr="00DF5296">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355FEB" w:rsidRPr="00DF5296" w:rsidRDefault="00355FEB" w:rsidP="00355FEB">
      <w:pPr>
        <w:autoSpaceDE w:val="0"/>
        <w:autoSpaceDN w:val="0"/>
        <w:adjustRightInd w:val="0"/>
        <w:jc w:val="both"/>
        <w:rPr>
          <w:rFonts w:ascii="Verdana" w:hAnsi="Verdana"/>
          <w:sz w:val="22"/>
          <w:szCs w:val="22"/>
          <w:lang w:val="es-MX"/>
        </w:rPr>
      </w:pPr>
    </w:p>
    <w:p w:rsidR="00355FEB" w:rsidRPr="00DF5296" w:rsidRDefault="00355FEB" w:rsidP="00355FEB">
      <w:pPr>
        <w:autoSpaceDE w:val="0"/>
        <w:autoSpaceDN w:val="0"/>
        <w:adjustRightInd w:val="0"/>
        <w:jc w:val="both"/>
        <w:rPr>
          <w:rFonts w:ascii="Verdana" w:hAnsi="Verdana"/>
          <w:sz w:val="22"/>
          <w:szCs w:val="22"/>
          <w:lang w:val="es-MX"/>
        </w:rPr>
      </w:pPr>
      <w:r w:rsidRPr="00DF5296">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355FEB" w:rsidRPr="00DF5296" w:rsidRDefault="00355FEB" w:rsidP="00355FEB">
      <w:pPr>
        <w:autoSpaceDE w:val="0"/>
        <w:autoSpaceDN w:val="0"/>
        <w:adjustRightInd w:val="0"/>
        <w:jc w:val="both"/>
        <w:rPr>
          <w:rFonts w:ascii="Verdana" w:hAnsi="Verdana"/>
          <w:sz w:val="22"/>
          <w:szCs w:val="22"/>
          <w:lang w:val="es-MX"/>
        </w:rPr>
      </w:pPr>
    </w:p>
    <w:p w:rsidR="00355FEB" w:rsidRPr="00DF5296" w:rsidRDefault="00355FEB" w:rsidP="00355FEB">
      <w:pPr>
        <w:autoSpaceDE w:val="0"/>
        <w:autoSpaceDN w:val="0"/>
        <w:adjustRightInd w:val="0"/>
        <w:ind w:left="567" w:right="566"/>
        <w:jc w:val="both"/>
        <w:rPr>
          <w:rFonts w:ascii="Verdana" w:hAnsi="Verdana"/>
          <w:b/>
          <w:sz w:val="22"/>
          <w:szCs w:val="22"/>
          <w:lang w:val="es-MX"/>
        </w:rPr>
      </w:pPr>
      <w:r w:rsidRPr="00DF5296">
        <w:rPr>
          <w:rFonts w:ascii="Verdana" w:hAnsi="Verdana"/>
          <w:bCs/>
          <w:sz w:val="22"/>
          <w:szCs w:val="22"/>
          <w:lang w:val="es-MX"/>
        </w:rPr>
        <w:t>“II.- Sobre el principio de legalidad:</w:t>
      </w:r>
      <w:r w:rsidRPr="00DF5296">
        <w:rPr>
          <w:rFonts w:ascii="Verdana" w:hAnsi="Verdana"/>
          <w:sz w:val="22"/>
          <w:szCs w:val="22"/>
          <w:lang w:val="es-MX"/>
        </w:rPr>
        <w:t xml:space="preserve"> El principio de legalidad que se consagra en el artículo 11 de nuestra Constitución Política, significa que </w:t>
      </w:r>
      <w:r w:rsidRPr="00DF5296">
        <w:rPr>
          <w:rFonts w:ascii="Verdana" w:hAnsi="Verdana"/>
          <w:b/>
          <w:sz w:val="22"/>
          <w:szCs w:val="22"/>
          <w:u w:val="single"/>
          <w:lang w:val="es-MX"/>
        </w:rPr>
        <w:t>los actos y comportamientos de la Administración deben de estar regulados por norma escrita</w:t>
      </w:r>
      <w:r w:rsidRPr="00DF5296">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DF5296">
        <w:rPr>
          <w:rFonts w:ascii="Verdana" w:hAnsi="Verdana"/>
          <w:b/>
          <w:sz w:val="22"/>
          <w:szCs w:val="22"/>
          <w:lang w:val="es-MX"/>
        </w:rPr>
        <w:t xml:space="preserve">, </w:t>
      </w:r>
      <w:r w:rsidRPr="00DF5296">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DF5296">
        <w:rPr>
          <w:rFonts w:ascii="Verdana" w:hAnsi="Verdana"/>
          <w:b/>
          <w:sz w:val="22"/>
          <w:szCs w:val="22"/>
          <w:lang w:val="es-MX"/>
        </w:rPr>
        <w:t xml:space="preserve">, </w:t>
      </w:r>
      <w:r w:rsidRPr="00DF5296">
        <w:rPr>
          <w:rFonts w:ascii="Verdana" w:hAnsi="Verdana"/>
          <w:b/>
          <w:sz w:val="22"/>
          <w:szCs w:val="22"/>
          <w:u w:val="single"/>
          <w:lang w:val="es-MX"/>
        </w:rPr>
        <w:t xml:space="preserve">en consecuencia solo le es permitido lo que esté constitucionalmente y legalmente autorizado en forma expresa y </w:t>
      </w:r>
      <w:r w:rsidRPr="00DF5296">
        <w:rPr>
          <w:rFonts w:ascii="Verdana" w:hAnsi="Verdana"/>
          <w:b/>
          <w:i/>
          <w:sz w:val="22"/>
          <w:szCs w:val="22"/>
          <w:u w:val="single"/>
          <w:lang w:val="es-MX"/>
        </w:rPr>
        <w:t>todo lo que no les esté autorizado les está vedado. “</w:t>
      </w:r>
      <w:r w:rsidRPr="00DF5296">
        <w:rPr>
          <w:rFonts w:ascii="Verdana" w:hAnsi="Verdana"/>
          <w:b/>
          <w:sz w:val="22"/>
          <w:szCs w:val="22"/>
          <w:lang w:val="es-MX"/>
        </w:rPr>
        <w:t>(Lo resaltado no es del original)</w:t>
      </w:r>
    </w:p>
    <w:p w:rsidR="00355FEB" w:rsidRPr="00DF5296" w:rsidRDefault="00355FEB" w:rsidP="00355FEB">
      <w:pPr>
        <w:autoSpaceDE w:val="0"/>
        <w:autoSpaceDN w:val="0"/>
        <w:adjustRightInd w:val="0"/>
        <w:jc w:val="both"/>
        <w:rPr>
          <w:rFonts w:ascii="Verdana" w:hAnsi="Verdana"/>
          <w:sz w:val="22"/>
          <w:szCs w:val="22"/>
          <w:lang w:val="es-MX"/>
        </w:rPr>
      </w:pPr>
    </w:p>
    <w:p w:rsidR="00355FEB" w:rsidRPr="00DF5296" w:rsidRDefault="00355FEB" w:rsidP="00355FEB">
      <w:pPr>
        <w:autoSpaceDE w:val="0"/>
        <w:autoSpaceDN w:val="0"/>
        <w:adjustRightInd w:val="0"/>
        <w:jc w:val="both"/>
        <w:rPr>
          <w:rFonts w:ascii="Verdana" w:hAnsi="Verdana"/>
          <w:sz w:val="22"/>
          <w:szCs w:val="22"/>
          <w:lang w:val="es-MX"/>
        </w:rPr>
      </w:pPr>
      <w:r w:rsidRPr="00DF5296">
        <w:rPr>
          <w:rFonts w:ascii="Verdana" w:hAnsi="Verdana"/>
          <w:sz w:val="22"/>
          <w:szCs w:val="22"/>
          <w:lang w:val="es-MX"/>
        </w:rPr>
        <w:t>Por su parte el Tribunal Contencioso Administrativo Sección II, en su sentencia 00002 de las nueve horas del 30 de enero de 2013 indica respecto del Principio de Legalidad lo siguiente:</w:t>
      </w:r>
    </w:p>
    <w:p w:rsidR="00355FEB" w:rsidRPr="00DF5296" w:rsidRDefault="00355FEB" w:rsidP="00355FEB">
      <w:pPr>
        <w:autoSpaceDE w:val="0"/>
        <w:autoSpaceDN w:val="0"/>
        <w:adjustRightInd w:val="0"/>
        <w:jc w:val="both"/>
        <w:rPr>
          <w:rFonts w:ascii="Verdana" w:hAnsi="Verdana"/>
          <w:b/>
          <w:sz w:val="22"/>
          <w:szCs w:val="22"/>
          <w:lang w:val="es-MX"/>
        </w:rPr>
      </w:pPr>
    </w:p>
    <w:p w:rsidR="00355FEB" w:rsidRPr="00DF5296" w:rsidRDefault="00355FEB" w:rsidP="00355FEB">
      <w:pPr>
        <w:autoSpaceDE w:val="0"/>
        <w:autoSpaceDN w:val="0"/>
        <w:adjustRightInd w:val="0"/>
        <w:ind w:left="397" w:right="335"/>
        <w:jc w:val="both"/>
        <w:rPr>
          <w:rFonts w:ascii="Verdana" w:hAnsi="Verdana"/>
          <w:i/>
          <w:sz w:val="22"/>
          <w:szCs w:val="22"/>
        </w:rPr>
      </w:pPr>
      <w:r w:rsidRPr="00DF5296">
        <w:rPr>
          <w:rFonts w:ascii="Verdana" w:hAnsi="Verdana"/>
          <w:i/>
          <w:sz w:val="22"/>
          <w:szCs w:val="22"/>
          <w:lang w:val="es-MX"/>
        </w:rPr>
        <w:t>“</w:t>
      </w:r>
      <w:r w:rsidRPr="00DF5296">
        <w:rPr>
          <w:rFonts w:ascii="Verdana" w:hAnsi="Verdana"/>
          <w:i/>
          <w:sz w:val="22"/>
          <w:szCs w:val="22"/>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w:t>
      </w:r>
      <w:r w:rsidRPr="00DF5296">
        <w:rPr>
          <w:rFonts w:ascii="Verdana" w:hAnsi="Verdana"/>
          <w:i/>
          <w:sz w:val="22"/>
          <w:szCs w:val="22"/>
        </w:rPr>
        <w:lastRenderedPageBreak/>
        <w:t xml:space="preserve">la autoridad. Están obligados a cumplir los deberes que la ley les impone y no pueden arrogarse facultades no concedidas en ella. (...)” y por su parte, en artículo 11 de la LGAP, dispone que </w:t>
      </w:r>
      <w:proofErr w:type="gramStart"/>
      <w:r w:rsidRPr="00DF5296">
        <w:rPr>
          <w:rFonts w:ascii="Verdana" w:hAnsi="Verdana"/>
          <w:i/>
          <w:sz w:val="22"/>
          <w:szCs w:val="22"/>
        </w:rPr>
        <w:t>“ la</w:t>
      </w:r>
      <w:proofErr w:type="gramEnd"/>
      <w:r w:rsidRPr="00DF5296">
        <w:rPr>
          <w:rFonts w:ascii="Verdana" w:hAnsi="Verdana"/>
          <w:i/>
          <w:sz w:val="22"/>
          <w:szCs w:val="22"/>
        </w:rPr>
        <w:t xml:space="preserve"> Administración Pública actuará sometida al ordenamiento jurídico y sólo podrá realizar aquellos actos o prestar aquellos servicios públicos que autorice dicho ordenamiento, según la escala jerárquica de sus fuentes; entonces, </w:t>
      </w:r>
      <w:r w:rsidRPr="00DF5296">
        <w:rPr>
          <w:rFonts w:ascii="Verdana" w:hAnsi="Verdana"/>
          <w:i/>
          <w:iCs/>
          <w:sz w:val="22"/>
          <w:szCs w:val="22"/>
        </w:rPr>
        <w:t xml:space="preserve">“todo acto o comportamiento de la </w:t>
      </w:r>
      <w:proofErr w:type="spellStart"/>
      <w:r w:rsidRPr="00DF5296">
        <w:rPr>
          <w:rFonts w:ascii="Verdana" w:hAnsi="Verdana"/>
          <w:i/>
          <w:iCs/>
          <w:sz w:val="22"/>
          <w:szCs w:val="22"/>
        </w:rPr>
        <w:t>Administraciónque</w:t>
      </w:r>
      <w:proofErr w:type="spellEnd"/>
      <w:r w:rsidRPr="00DF5296">
        <w:rPr>
          <w:rFonts w:ascii="Verdana" w:hAnsi="Verdana"/>
          <w:i/>
          <w:iCs/>
          <w:sz w:val="22"/>
          <w:szCs w:val="22"/>
        </w:rPr>
        <w:t xml:space="preserve"> incida sobre los derechos del particular debe estar autorizado por el ordenamiento jurídico" (</w:t>
      </w:r>
      <w:proofErr w:type="spellStart"/>
      <w:r w:rsidRPr="00DF5296">
        <w:rPr>
          <w:rFonts w:ascii="Verdana" w:hAnsi="Verdana"/>
          <w:i/>
          <w:iCs/>
          <w:sz w:val="22"/>
          <w:szCs w:val="22"/>
        </w:rPr>
        <w:t>Ortíz</w:t>
      </w:r>
      <w:proofErr w:type="spellEnd"/>
      <w:r w:rsidRPr="00DF5296">
        <w:rPr>
          <w:rFonts w:ascii="Verdana" w:hAnsi="Verdana"/>
          <w:i/>
          <w:iCs/>
          <w:sz w:val="22"/>
          <w:szCs w:val="22"/>
        </w:rPr>
        <w:t xml:space="preserve"> </w:t>
      </w:r>
      <w:proofErr w:type="spellStart"/>
      <w:r w:rsidRPr="00DF5296">
        <w:rPr>
          <w:rFonts w:ascii="Verdana" w:hAnsi="Verdana"/>
          <w:i/>
          <w:iCs/>
          <w:sz w:val="22"/>
          <w:szCs w:val="22"/>
        </w:rPr>
        <w:t>Ortíz</w:t>
      </w:r>
      <w:proofErr w:type="spellEnd"/>
      <w:r w:rsidRPr="00DF5296">
        <w:rPr>
          <w:rFonts w:ascii="Verdana" w:hAnsi="Verdana"/>
          <w:i/>
          <w:iCs/>
          <w:sz w:val="22"/>
          <w:szCs w:val="22"/>
        </w:rPr>
        <w:t>)</w:t>
      </w:r>
      <w:r w:rsidRPr="00DF5296">
        <w:rPr>
          <w:rFonts w:ascii="Verdana" w:hAnsi="Verdana"/>
          <w:i/>
          <w:sz w:val="22"/>
          <w:szCs w:val="22"/>
        </w:rPr>
        <w:t xml:space="preserve">. Agrega el </w:t>
      </w:r>
      <w:proofErr w:type="gramStart"/>
      <w:r w:rsidRPr="00DF5296">
        <w:rPr>
          <w:rFonts w:ascii="Verdana" w:hAnsi="Verdana"/>
          <w:i/>
          <w:sz w:val="22"/>
          <w:szCs w:val="22"/>
        </w:rPr>
        <w:t>jurista</w:t>
      </w:r>
      <w:proofErr w:type="gramEnd"/>
      <w:r w:rsidRPr="00DF5296">
        <w:rPr>
          <w:rFonts w:ascii="Verdana" w:hAnsi="Verdana"/>
          <w:i/>
          <w:sz w:val="22"/>
          <w:szCs w:val="22"/>
        </w:rPr>
        <w:t xml:space="preserve"> además: </w:t>
      </w:r>
      <w:r w:rsidRPr="00DF5296">
        <w:rPr>
          <w:rFonts w:ascii="Verdana" w:hAnsi="Verdana"/>
          <w:i/>
          <w:iCs/>
          <w:sz w:val="22"/>
          <w:szCs w:val="22"/>
        </w:rPr>
        <w:t>"también constituye una garantía de la eficiencia </w:t>
      </w:r>
      <w:r w:rsidRPr="00DF5296">
        <w:rPr>
          <w:rFonts w:ascii="Verdana" w:hAnsi="Verdana"/>
          <w:bCs/>
          <w:i/>
          <w:iCs/>
          <w:sz w:val="22"/>
          <w:szCs w:val="22"/>
        </w:rPr>
        <w:t>administrativa</w:t>
      </w:r>
      <w:r w:rsidRPr="00DF5296">
        <w:rPr>
          <w:rFonts w:ascii="Verdana" w:hAnsi="Verdana"/>
          <w:i/>
          <w:iCs/>
          <w:sz w:val="22"/>
          <w:szCs w:val="22"/>
        </w:rPr>
        <w:t>, pues crea un orden de conducta indispensable para que la acción pública realice los fines que persigue, que permite asegurar un mínimo de oportunidad y conveniencia a su gestión"</w:t>
      </w:r>
      <w:r w:rsidRPr="00DF5296">
        <w:rPr>
          <w:rFonts w:ascii="Verdana" w:hAnsi="Verdana"/>
          <w:i/>
          <w:sz w:val="22"/>
          <w:szCs w:val="22"/>
        </w:rPr>
        <w:t xml:space="preserve">. La sujeción de la </w:t>
      </w:r>
      <w:proofErr w:type="spellStart"/>
      <w:r w:rsidRPr="00DF5296">
        <w:rPr>
          <w:rFonts w:ascii="Verdana" w:hAnsi="Verdana"/>
          <w:i/>
          <w:sz w:val="22"/>
          <w:szCs w:val="22"/>
        </w:rPr>
        <w:t>actuación</w:t>
      </w:r>
      <w:r w:rsidRPr="00DF5296">
        <w:rPr>
          <w:rFonts w:ascii="Verdana" w:hAnsi="Verdana"/>
          <w:bCs/>
          <w:i/>
          <w:sz w:val="22"/>
          <w:szCs w:val="22"/>
        </w:rPr>
        <w:t>administrativa</w:t>
      </w:r>
      <w:proofErr w:type="spellEnd"/>
      <w:r w:rsidRPr="00DF5296">
        <w:rPr>
          <w:rFonts w:ascii="Verdana" w:hAnsi="Verdana"/>
          <w:i/>
          <w:sz w:val="22"/>
          <w:szCs w:val="22"/>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DF5296">
        <w:rPr>
          <w:rFonts w:ascii="Verdana" w:hAnsi="Verdana"/>
          <w:bCs/>
          <w:i/>
          <w:sz w:val="22"/>
          <w:szCs w:val="22"/>
        </w:rPr>
        <w:t>legalidad</w:t>
      </w:r>
      <w:r w:rsidRPr="00DF5296">
        <w:rPr>
          <w:rFonts w:ascii="Verdana" w:hAnsi="Verdana"/>
          <w:i/>
          <w:sz w:val="22"/>
          <w:szCs w:val="22"/>
        </w:rPr>
        <w:t>, constituye una infracción del Ordenamiento Jurídico. Desde esta perspectiva, toda autoridad o institución pública lo es y solamente puede actuar en la medida en que se encuentre habilitada para hacerlo por el mismo ordenamiento, y normalmente a texto expreso.”</w:t>
      </w:r>
    </w:p>
    <w:p w:rsidR="00355FEB" w:rsidRPr="00DF5296" w:rsidRDefault="00355FEB" w:rsidP="00355FEB">
      <w:pPr>
        <w:autoSpaceDE w:val="0"/>
        <w:autoSpaceDN w:val="0"/>
        <w:adjustRightInd w:val="0"/>
        <w:ind w:left="397"/>
        <w:jc w:val="both"/>
        <w:rPr>
          <w:rFonts w:ascii="Verdana" w:hAnsi="Verdana"/>
          <w:i/>
          <w:sz w:val="22"/>
          <w:szCs w:val="22"/>
          <w:lang w:val="es-MX"/>
        </w:rPr>
      </w:pPr>
    </w:p>
    <w:p w:rsidR="00355FEB" w:rsidRPr="00DF5296" w:rsidRDefault="00355FEB" w:rsidP="00355FEB">
      <w:pPr>
        <w:autoSpaceDE w:val="0"/>
        <w:autoSpaceDN w:val="0"/>
        <w:adjustRightInd w:val="0"/>
        <w:jc w:val="both"/>
        <w:rPr>
          <w:rFonts w:ascii="Verdana" w:hAnsi="Verdana"/>
          <w:b/>
          <w:sz w:val="22"/>
          <w:szCs w:val="22"/>
          <w:lang w:val="es-MX"/>
        </w:rPr>
      </w:pPr>
    </w:p>
    <w:p w:rsidR="00355FEB" w:rsidRPr="00DF5296" w:rsidRDefault="00355FEB" w:rsidP="00355FEB">
      <w:pPr>
        <w:autoSpaceDE w:val="0"/>
        <w:autoSpaceDN w:val="0"/>
        <w:adjustRightInd w:val="0"/>
        <w:jc w:val="both"/>
        <w:rPr>
          <w:rFonts w:ascii="Verdana" w:hAnsi="Verdana"/>
          <w:iCs/>
          <w:sz w:val="22"/>
          <w:szCs w:val="22"/>
          <w:lang w:val="es-MX"/>
        </w:rPr>
      </w:pPr>
      <w:r w:rsidRPr="00DF5296">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355FEB" w:rsidRPr="00DF5296" w:rsidRDefault="00355FEB" w:rsidP="00355FEB">
      <w:pPr>
        <w:jc w:val="both"/>
        <w:rPr>
          <w:rFonts w:ascii="Verdana" w:hAnsi="Verdana"/>
          <w:b/>
          <w:sz w:val="22"/>
          <w:szCs w:val="22"/>
        </w:rPr>
      </w:pPr>
    </w:p>
    <w:p w:rsidR="00355FEB" w:rsidRPr="00DF5296" w:rsidRDefault="00355FEB" w:rsidP="00355FEB">
      <w:pPr>
        <w:jc w:val="both"/>
        <w:rPr>
          <w:rFonts w:ascii="Verdana" w:hAnsi="Verdana"/>
          <w:b/>
          <w:sz w:val="22"/>
          <w:szCs w:val="22"/>
        </w:rPr>
      </w:pPr>
      <w:r w:rsidRPr="00DF5296">
        <w:rPr>
          <w:rFonts w:ascii="Verdana" w:hAnsi="Verdana"/>
          <w:b/>
          <w:sz w:val="22"/>
          <w:szCs w:val="22"/>
        </w:rPr>
        <w:t>DE LA MOTIVACIÓN DE LOS ACTOS ADMINISTRATIVOS.</w:t>
      </w:r>
    </w:p>
    <w:p w:rsidR="00355FEB" w:rsidRPr="00DF5296" w:rsidRDefault="00355FEB" w:rsidP="00355FEB">
      <w:pPr>
        <w:jc w:val="both"/>
        <w:rPr>
          <w:rFonts w:ascii="Verdana" w:hAnsi="Verdana"/>
          <w:b/>
          <w:sz w:val="22"/>
          <w:szCs w:val="22"/>
        </w:rPr>
      </w:pPr>
    </w:p>
    <w:p w:rsidR="00355FEB" w:rsidRPr="00DF5296" w:rsidRDefault="00355FEB" w:rsidP="00355FEB">
      <w:pPr>
        <w:jc w:val="both"/>
        <w:rPr>
          <w:rFonts w:ascii="Verdana" w:hAnsi="Verdana"/>
          <w:sz w:val="22"/>
          <w:szCs w:val="22"/>
        </w:rPr>
      </w:pPr>
      <w:r w:rsidRPr="00DF5296">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355FEB" w:rsidRPr="00DF5296" w:rsidRDefault="00355FEB" w:rsidP="00355FEB">
      <w:pPr>
        <w:jc w:val="both"/>
        <w:rPr>
          <w:sz w:val="22"/>
          <w:szCs w:val="22"/>
        </w:rPr>
      </w:pPr>
    </w:p>
    <w:p w:rsidR="00355FEB" w:rsidRPr="00DF5296" w:rsidRDefault="00355FEB" w:rsidP="00355FEB">
      <w:pPr>
        <w:jc w:val="both"/>
        <w:rPr>
          <w:rFonts w:ascii="Verdana" w:hAnsi="Verdana"/>
          <w:sz w:val="22"/>
          <w:szCs w:val="22"/>
        </w:rPr>
      </w:pPr>
      <w:r w:rsidRPr="00DF5296">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355FEB" w:rsidRPr="00DF5296" w:rsidRDefault="00355FEB" w:rsidP="00355FEB">
      <w:pPr>
        <w:jc w:val="both"/>
        <w:rPr>
          <w:rFonts w:ascii="Verdana" w:hAnsi="Verdana"/>
          <w:color w:val="FF0000"/>
          <w:sz w:val="22"/>
          <w:szCs w:val="22"/>
        </w:rPr>
      </w:pPr>
    </w:p>
    <w:p w:rsidR="00355FEB" w:rsidRPr="00DF5296" w:rsidRDefault="00355FEB" w:rsidP="00355FEB">
      <w:pPr>
        <w:jc w:val="both"/>
        <w:rPr>
          <w:rFonts w:ascii="Verdana" w:hAnsi="Verdana"/>
          <w:sz w:val="22"/>
          <w:szCs w:val="22"/>
        </w:rPr>
      </w:pPr>
      <w:r w:rsidRPr="00DF5296">
        <w:rPr>
          <w:rFonts w:ascii="Verdana" w:hAnsi="Verdana"/>
          <w:sz w:val="22"/>
          <w:szCs w:val="22"/>
        </w:rPr>
        <w:t>El Tribunal Contencioso Administrativo Sección IV en su sentencia 00106 de las trece horas del once de noviembre de 2013 indico:</w:t>
      </w:r>
    </w:p>
    <w:p w:rsidR="00355FEB" w:rsidRPr="00DF5296" w:rsidRDefault="00355FEB" w:rsidP="00355FEB">
      <w:pPr>
        <w:ind w:left="340" w:right="340"/>
        <w:jc w:val="both"/>
        <w:rPr>
          <w:rFonts w:ascii="Verdana" w:hAnsi="Verdana"/>
          <w:b/>
          <w:bCs/>
          <w:i/>
          <w:sz w:val="22"/>
          <w:szCs w:val="22"/>
          <w:lang w:val="es-CR"/>
        </w:rPr>
      </w:pPr>
    </w:p>
    <w:p w:rsidR="00355FEB" w:rsidRPr="00DF5296" w:rsidRDefault="00355FEB" w:rsidP="00355FEB">
      <w:pPr>
        <w:ind w:left="340" w:right="340"/>
        <w:jc w:val="both"/>
        <w:rPr>
          <w:rFonts w:ascii="Verdana" w:hAnsi="Verdana"/>
          <w:b/>
          <w:bCs/>
          <w:i/>
          <w:sz w:val="22"/>
          <w:szCs w:val="22"/>
          <w:lang w:val="es-CR"/>
        </w:rPr>
      </w:pPr>
      <w:r w:rsidRPr="00DF5296">
        <w:rPr>
          <w:rFonts w:ascii="Verdana" w:hAnsi="Verdana"/>
          <w:b/>
          <w:bCs/>
          <w:i/>
          <w:sz w:val="22"/>
          <w:szCs w:val="22"/>
          <w:lang w:val="es-CR"/>
        </w:rPr>
        <w:t>“VII.II.I- Consideraciones generales sobre la motivación como elemento del acto administrativo:</w:t>
      </w:r>
    </w:p>
    <w:p w:rsidR="00355FEB" w:rsidRPr="00DF5296" w:rsidRDefault="00355FEB" w:rsidP="00355FEB">
      <w:pPr>
        <w:ind w:left="340" w:right="340"/>
        <w:jc w:val="both"/>
        <w:rPr>
          <w:rFonts w:ascii="Verdana" w:hAnsi="Verdana"/>
          <w:b/>
          <w:bCs/>
          <w:i/>
          <w:sz w:val="22"/>
          <w:szCs w:val="22"/>
          <w:lang w:val="es-CR"/>
        </w:rPr>
      </w:pPr>
      <w:r w:rsidRPr="00DF5296">
        <w:rPr>
          <w:rFonts w:ascii="Verdana" w:hAnsi="Verdana"/>
          <w:b/>
          <w:bCs/>
          <w:i/>
          <w:sz w:val="22"/>
          <w:szCs w:val="22"/>
          <w:lang w:val="es-CR"/>
        </w:rPr>
        <w:t xml:space="preserve">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w:t>
      </w:r>
      <w:r w:rsidRPr="00DF5296">
        <w:rPr>
          <w:rFonts w:ascii="Verdana" w:hAnsi="Verdana"/>
          <w:b/>
          <w:bCs/>
          <w:i/>
          <w:sz w:val="22"/>
          <w:szCs w:val="22"/>
          <w:lang w:val="es-CR"/>
        </w:rPr>
        <w:lastRenderedPageBreak/>
        <w:t>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w:t>
      </w:r>
      <w:proofErr w:type="gramStart"/>
      <w:r w:rsidRPr="00DF5296">
        <w:rPr>
          <w:rFonts w:ascii="Verdana" w:hAnsi="Verdana"/>
          <w:b/>
          <w:bCs/>
          <w:i/>
          <w:sz w:val="22"/>
          <w:szCs w:val="22"/>
          <w:lang w:val="es-CR"/>
        </w:rPr>
        <w:t>motivación ,</w:t>
      </w:r>
      <w:proofErr w:type="gramEnd"/>
      <w:r w:rsidRPr="00DF5296">
        <w:rPr>
          <w:rFonts w:ascii="Verdana" w:hAnsi="Verdana"/>
          <w:b/>
          <w:bCs/>
          <w:i/>
          <w:sz w:val="22"/>
          <w:szCs w:val="22"/>
          <w:lang w:val="es-CR"/>
        </w:rPr>
        <w:t xml:space="preserve"> sea el fundamento de la conducta administrativa. Con respecto a este elemento del acto administrativo, se ha definido de la siguiente manera: </w:t>
      </w:r>
      <w:r w:rsidRPr="00DF5296">
        <w:rPr>
          <w:rFonts w:ascii="Verdana" w:hAnsi="Verdana"/>
          <w:b/>
          <w:bCs/>
          <w:i/>
          <w:iCs/>
          <w:sz w:val="22"/>
          <w:szCs w:val="22"/>
          <w:lang w:val="es-CR"/>
        </w:rPr>
        <w:t>"Así,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w:t>
      </w:r>
      <w:proofErr w:type="spellStart"/>
      <w:r w:rsidRPr="00DF5296">
        <w:rPr>
          <w:rFonts w:ascii="Verdana" w:hAnsi="Verdana"/>
          <w:b/>
          <w:bCs/>
          <w:i/>
          <w:iCs/>
          <w:sz w:val="22"/>
          <w:szCs w:val="22"/>
          <w:lang w:val="es-CR"/>
        </w:rPr>
        <w:t>motivaciónconstituye</w:t>
      </w:r>
      <w:proofErr w:type="spellEnd"/>
      <w:r w:rsidRPr="00DF5296">
        <w:rPr>
          <w:rFonts w:ascii="Verdana" w:hAnsi="Verdana"/>
          <w:b/>
          <w:bCs/>
          <w:i/>
          <w:iCs/>
          <w:sz w:val="22"/>
          <w:szCs w:val="22"/>
          <w:lang w:val="es-CR"/>
        </w:rPr>
        <w:t xml:space="preserve"> uno de los primeros pasos hacia el reconocimiento del recurso de desviación de poder, pero lo cierto es </w:t>
      </w:r>
      <w:proofErr w:type="gramStart"/>
      <w:r w:rsidRPr="00DF5296">
        <w:rPr>
          <w:rFonts w:ascii="Verdana" w:hAnsi="Verdana"/>
          <w:b/>
          <w:bCs/>
          <w:i/>
          <w:iCs/>
          <w:sz w:val="22"/>
          <w:szCs w:val="22"/>
          <w:lang w:val="es-CR"/>
        </w:rPr>
        <w:t>que</w:t>
      </w:r>
      <w:proofErr w:type="gramEnd"/>
      <w:r w:rsidRPr="00DF5296">
        <w:rPr>
          <w:rFonts w:ascii="Verdana" w:hAnsi="Verdana"/>
          <w:b/>
          <w:bCs/>
          <w:i/>
          <w:iCs/>
          <w:sz w:val="22"/>
          <w:szCs w:val="22"/>
          <w:lang w:val="es-CR"/>
        </w:rPr>
        <w:t xml:space="preserve"> al limitar el concepto de motivación a la expresión de la causa, no toda la doctrina advierte la importancia que ella puede tener para acreditar la existencia de un defecto o vicio en el elemento finalidad.</w:t>
      </w:r>
      <w:r w:rsidRPr="00DF5296">
        <w:rPr>
          <w:rFonts w:ascii="Verdana" w:hAnsi="Verdana"/>
          <w:b/>
          <w:bCs/>
          <w:i/>
          <w:sz w:val="22"/>
          <w:szCs w:val="22"/>
          <w:lang w:val="es-CR"/>
        </w:rPr>
        <w:t xml:space="preserve">" (CASSAGNE, Juan Carlos, El Acto Administrativo, Buenos Aires, Segunda Edición, </w:t>
      </w:r>
      <w:proofErr w:type="spellStart"/>
      <w:r w:rsidRPr="00DF5296">
        <w:rPr>
          <w:rFonts w:ascii="Verdana" w:hAnsi="Verdana"/>
          <w:b/>
          <w:bCs/>
          <w:i/>
          <w:sz w:val="22"/>
          <w:szCs w:val="22"/>
          <w:lang w:val="es-CR"/>
        </w:rPr>
        <w:t>Abeledo-Perrot</w:t>
      </w:r>
      <w:proofErr w:type="spellEnd"/>
      <w:r w:rsidRPr="00DF5296">
        <w:rPr>
          <w:rFonts w:ascii="Verdana" w:hAnsi="Verdana"/>
          <w:b/>
          <w:bCs/>
          <w:i/>
          <w:sz w:val="22"/>
          <w:szCs w:val="22"/>
          <w:lang w:val="es-CR"/>
        </w:rPr>
        <w:t>, p. 212-213) La doctrina nacional por su parte lo ha expresado de la siguiente manera: "...</w:t>
      </w:r>
      <w:r w:rsidRPr="00DF5296">
        <w:rPr>
          <w:rFonts w:ascii="Verdana" w:hAnsi="Verdana"/>
          <w:b/>
          <w:bCs/>
          <w:i/>
          <w:iCs/>
          <w:sz w:val="22"/>
          <w:szCs w:val="22"/>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DF5296">
        <w:rPr>
          <w:rFonts w:ascii="Verdana" w:hAnsi="Verdana"/>
          <w:b/>
          <w:bCs/>
          <w:i/>
          <w:sz w:val="22"/>
          <w:szCs w:val="22"/>
          <w:lang w:val="es-CR"/>
        </w:rPr>
        <w:t xml:space="preserve">" (JINESTA LOBO, </w:t>
      </w:r>
      <w:proofErr w:type="spellStart"/>
      <w:r w:rsidRPr="00DF5296">
        <w:rPr>
          <w:rFonts w:ascii="Verdana" w:hAnsi="Verdana"/>
          <w:b/>
          <w:bCs/>
          <w:i/>
          <w:sz w:val="22"/>
          <w:szCs w:val="22"/>
          <w:lang w:val="es-CR"/>
        </w:rPr>
        <w:t>Ernesto.</w:t>
      </w:r>
      <w:r w:rsidRPr="00DF5296">
        <w:rPr>
          <w:rFonts w:ascii="Verdana" w:hAnsi="Verdana"/>
          <w:b/>
          <w:bCs/>
          <w:i/>
          <w:sz w:val="22"/>
          <w:szCs w:val="22"/>
          <w:u w:val="single"/>
          <w:lang w:val="es-CR"/>
        </w:rPr>
        <w:t>Tratado</w:t>
      </w:r>
      <w:proofErr w:type="spellEnd"/>
      <w:r w:rsidRPr="00DF5296">
        <w:rPr>
          <w:rFonts w:ascii="Verdana" w:hAnsi="Verdana"/>
          <w:b/>
          <w:bCs/>
          <w:i/>
          <w:sz w:val="22"/>
          <w:szCs w:val="22"/>
          <w:u w:val="single"/>
          <w:lang w:val="es-CR"/>
        </w:rPr>
        <w:t xml:space="preserve"> de Derecho Administrativo</w:t>
      </w:r>
      <w:r w:rsidRPr="00DF5296">
        <w:rPr>
          <w:rFonts w:ascii="Verdana" w:hAnsi="Verdana"/>
          <w:b/>
          <w:bCs/>
          <w:i/>
          <w:sz w:val="22"/>
          <w:szCs w:val="22"/>
          <w:lang w:val="es-CR"/>
        </w:rPr>
        <w:t xml:space="preserve">. Tomo I. (Parte General). Investigaciones Jurídicas S.A </w:t>
      </w:r>
      <w:proofErr w:type="spellStart"/>
      <w:r w:rsidRPr="00DF5296">
        <w:rPr>
          <w:rFonts w:ascii="Verdana" w:hAnsi="Verdana"/>
          <w:b/>
          <w:bCs/>
          <w:i/>
          <w:sz w:val="22"/>
          <w:szCs w:val="22"/>
          <w:lang w:val="es-CR"/>
        </w:rPr>
        <w:t>Ius</w:t>
      </w:r>
      <w:proofErr w:type="spellEnd"/>
      <w:r w:rsidRPr="00DF5296">
        <w:rPr>
          <w:rFonts w:ascii="Verdana" w:hAnsi="Verdana"/>
          <w:b/>
          <w:bCs/>
          <w:i/>
          <w:sz w:val="22"/>
          <w:szCs w:val="22"/>
          <w:lang w:val="es-CR"/>
        </w:rPr>
        <w:t xml:space="preserve"> </w:t>
      </w:r>
      <w:proofErr w:type="spellStart"/>
      <w:r w:rsidRPr="00DF5296">
        <w:rPr>
          <w:rFonts w:ascii="Verdana" w:hAnsi="Verdana"/>
          <w:b/>
          <w:bCs/>
          <w:i/>
          <w:sz w:val="22"/>
          <w:szCs w:val="22"/>
          <w:lang w:val="es-CR"/>
        </w:rPr>
        <w:lastRenderedPageBreak/>
        <w:t>Consultec</w:t>
      </w:r>
      <w:proofErr w:type="spellEnd"/>
      <w:r w:rsidRPr="00DF5296">
        <w:rPr>
          <w:rFonts w:ascii="Verdana" w:hAnsi="Verdana"/>
          <w:b/>
          <w:bCs/>
          <w:i/>
          <w:sz w:val="22"/>
          <w:szCs w:val="22"/>
          <w:lang w:val="es-CR"/>
        </w:rPr>
        <w:t>. S.A.2007.) Por su parte, el artículo 136 de la Ley General de la Administración Pública se refiere a este elemento de la siguiente manera: </w:t>
      </w:r>
      <w:r w:rsidRPr="00DF5296">
        <w:rPr>
          <w:rFonts w:ascii="Verdana" w:hAnsi="Verdana"/>
          <w:b/>
          <w:bCs/>
          <w:i/>
          <w:iCs/>
          <w:sz w:val="22"/>
          <w:szCs w:val="22"/>
          <w:lang w:val="es-CR"/>
        </w:rPr>
        <w:t>"Artículo 136.-</w:t>
      </w:r>
    </w:p>
    <w:p w:rsidR="00355FEB" w:rsidRPr="00DF5296" w:rsidRDefault="00355FEB" w:rsidP="00355FEB">
      <w:pPr>
        <w:pStyle w:val="Prrafodelista"/>
        <w:numPr>
          <w:ilvl w:val="0"/>
          <w:numId w:val="1"/>
        </w:numPr>
        <w:ind w:right="340"/>
        <w:jc w:val="both"/>
        <w:rPr>
          <w:rFonts w:ascii="Verdana" w:hAnsi="Verdana"/>
          <w:b/>
          <w:bCs/>
          <w:i/>
          <w:sz w:val="22"/>
          <w:szCs w:val="22"/>
          <w:lang w:val="es-CR"/>
        </w:rPr>
      </w:pPr>
      <w:r w:rsidRPr="00DF5296">
        <w:rPr>
          <w:rFonts w:ascii="Verdana" w:hAnsi="Verdana"/>
          <w:b/>
          <w:bCs/>
          <w:i/>
          <w:iCs/>
          <w:sz w:val="22"/>
          <w:szCs w:val="22"/>
          <w:lang w:val="es-CR"/>
        </w:rPr>
        <w:t xml:space="preserve">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w:t>
      </w:r>
      <w:proofErr w:type="spellStart"/>
      <w:r w:rsidRPr="00DF5296">
        <w:rPr>
          <w:rFonts w:ascii="Verdana" w:hAnsi="Verdana"/>
          <w:b/>
          <w:bCs/>
          <w:i/>
          <w:iCs/>
          <w:sz w:val="22"/>
          <w:szCs w:val="22"/>
          <w:lang w:val="es-CR"/>
        </w:rPr>
        <w:t>yactos</w:t>
      </w:r>
      <w:proofErr w:type="spellEnd"/>
      <w:r w:rsidRPr="00DF5296">
        <w:rPr>
          <w:rFonts w:ascii="Verdana" w:hAnsi="Verdana"/>
          <w:b/>
          <w:bCs/>
          <w:i/>
          <w:iCs/>
          <w:sz w:val="22"/>
          <w:szCs w:val="22"/>
          <w:lang w:val="es-CR"/>
        </w:rPr>
        <w:t xml:space="preserve"> discrecionales de alcance general; y f) Los que deban serlo en virtud de ley. 2. La </w:t>
      </w:r>
      <w:proofErr w:type="spellStart"/>
      <w:r w:rsidRPr="00DF5296">
        <w:rPr>
          <w:rFonts w:ascii="Verdana" w:hAnsi="Verdana"/>
          <w:b/>
          <w:bCs/>
          <w:i/>
          <w:iCs/>
          <w:sz w:val="22"/>
          <w:szCs w:val="22"/>
          <w:lang w:val="es-CR"/>
        </w:rPr>
        <w:t>motivaciónpodrá</w:t>
      </w:r>
      <w:proofErr w:type="spellEnd"/>
      <w:r w:rsidRPr="00DF5296">
        <w:rPr>
          <w:rFonts w:ascii="Verdana" w:hAnsi="Verdana"/>
          <w:b/>
          <w:bCs/>
          <w:i/>
          <w:iCs/>
          <w:sz w:val="22"/>
          <w:szCs w:val="22"/>
          <w:lang w:val="es-CR"/>
        </w:rPr>
        <w:t xml:space="preserve"> consistir en la referencia explícita o inequívoca a los motivos de la petición del administrado, o bien a propuestas, dictámenes o resoluciones previas que hayan determinado realmente la adopción </w:t>
      </w:r>
      <w:proofErr w:type="spellStart"/>
      <w:r w:rsidRPr="00DF5296">
        <w:rPr>
          <w:rFonts w:ascii="Verdana" w:hAnsi="Verdana"/>
          <w:b/>
          <w:bCs/>
          <w:i/>
          <w:iCs/>
          <w:sz w:val="22"/>
          <w:szCs w:val="22"/>
          <w:lang w:val="es-CR"/>
        </w:rPr>
        <w:t>delacto</w:t>
      </w:r>
      <w:proofErr w:type="spellEnd"/>
      <w:r w:rsidRPr="00DF5296">
        <w:rPr>
          <w:rFonts w:ascii="Verdana" w:hAnsi="Verdana"/>
          <w:b/>
          <w:bCs/>
          <w:i/>
          <w:iCs/>
          <w:sz w:val="22"/>
          <w:szCs w:val="22"/>
          <w:lang w:val="es-CR"/>
        </w:rPr>
        <w:t>, a condición de que se acompañe su copia". </w:t>
      </w:r>
      <w:r w:rsidRPr="00DF5296">
        <w:rPr>
          <w:rFonts w:ascii="Verdana" w:hAnsi="Verdana"/>
          <w:b/>
          <w:bCs/>
          <w:i/>
          <w:sz w:val="22"/>
          <w:szCs w:val="22"/>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sidRPr="00DF5296">
        <w:rPr>
          <w:rFonts w:ascii="Verdana" w:hAnsi="Verdana"/>
          <w:b/>
          <w:bCs/>
          <w:i/>
          <w:sz w:val="22"/>
          <w:szCs w:val="22"/>
          <w:lang w:val="es-CR"/>
        </w:rPr>
        <w:t>que</w:t>
      </w:r>
      <w:proofErr w:type="gramEnd"/>
      <w:r w:rsidRPr="00DF5296">
        <w:rPr>
          <w:rFonts w:ascii="Verdana" w:hAnsi="Verdana"/>
          <w:b/>
          <w:bCs/>
          <w:i/>
          <w:sz w:val="22"/>
          <w:szCs w:val="22"/>
          <w:lang w:val="es-CR"/>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w:t>
      </w:r>
      <w:proofErr w:type="spellStart"/>
      <w:r w:rsidRPr="00DF5296">
        <w:rPr>
          <w:rFonts w:ascii="Verdana" w:hAnsi="Verdana"/>
          <w:b/>
          <w:bCs/>
          <w:i/>
          <w:sz w:val="22"/>
          <w:szCs w:val="22"/>
          <w:lang w:val="es-CR"/>
        </w:rPr>
        <w:t>lamotivación</w:t>
      </w:r>
      <w:proofErr w:type="spellEnd"/>
      <w:r w:rsidRPr="00DF5296">
        <w:rPr>
          <w:rFonts w:ascii="Verdana" w:hAnsi="Verdana"/>
          <w:b/>
          <w:bCs/>
          <w:i/>
          <w:sz w:val="22"/>
          <w:szCs w:val="22"/>
          <w:lang w:val="es-CR"/>
        </w:rPr>
        <w:t xml:space="preserve"> es baluarte frente a la arbitrariedad. Así lo ha indicado la doctrina, de la siguiente </w:t>
      </w:r>
      <w:proofErr w:type="gramStart"/>
      <w:r w:rsidRPr="00DF5296">
        <w:rPr>
          <w:rFonts w:ascii="Verdana" w:hAnsi="Verdana"/>
          <w:b/>
          <w:bCs/>
          <w:i/>
          <w:sz w:val="22"/>
          <w:szCs w:val="22"/>
          <w:lang w:val="es-CR"/>
        </w:rPr>
        <w:t>manera:</w:t>
      </w:r>
      <w:r w:rsidRPr="00DF5296">
        <w:rPr>
          <w:rFonts w:ascii="Verdana" w:hAnsi="Verdana"/>
          <w:b/>
          <w:bCs/>
          <w:i/>
          <w:iCs/>
          <w:sz w:val="22"/>
          <w:szCs w:val="22"/>
          <w:lang w:val="es-CR"/>
        </w:rPr>
        <w:t>“</w:t>
      </w:r>
      <w:proofErr w:type="gramEnd"/>
      <w:r w:rsidRPr="00DF5296">
        <w:rPr>
          <w:rFonts w:ascii="Verdana" w:hAnsi="Verdana"/>
          <w:b/>
          <w:bCs/>
          <w:i/>
          <w:iCs/>
          <w:sz w:val="22"/>
          <w:szCs w:val="22"/>
          <w:lang w:val="es-CR"/>
        </w:rPr>
        <w:t xml:space="preserve">…la motivación permite, en suma, conocer sobre todo la causa y el fin del acto administrativo, pero también el Derecho con el que se pretende legitimar la decisión, y el </w:t>
      </w:r>
      <w:r w:rsidRPr="00DF5296">
        <w:rPr>
          <w:rFonts w:ascii="Verdana" w:hAnsi="Verdana"/>
          <w:b/>
          <w:bCs/>
          <w:i/>
          <w:iCs/>
          <w:sz w:val="22"/>
          <w:szCs w:val="22"/>
          <w:lang w:val="es-CR"/>
        </w:rPr>
        <w:lastRenderedPageBreak/>
        <w:t>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w:t>
      </w:r>
      <w:r w:rsidRPr="00DF5296">
        <w:rPr>
          <w:rFonts w:ascii="Verdana" w:hAnsi="Verdana"/>
          <w:b/>
          <w:bCs/>
          <w:i/>
          <w:sz w:val="22"/>
          <w:szCs w:val="22"/>
          <w:lang w:val="es-CR"/>
        </w:rPr>
        <w:t xml:space="preserve">” GARRIDO FALLA, Fernando y FERNÁNDEZ PASTRANA, José. María. “Régimen Jurídico y Procedimiento de las Administraciones Públicas”, Edit. </w:t>
      </w:r>
      <w:proofErr w:type="spellStart"/>
      <w:r w:rsidRPr="00DF5296">
        <w:rPr>
          <w:rFonts w:ascii="Verdana" w:hAnsi="Verdana"/>
          <w:b/>
          <w:bCs/>
          <w:i/>
          <w:sz w:val="22"/>
          <w:szCs w:val="22"/>
          <w:lang w:val="es-CR"/>
        </w:rPr>
        <w:t>Civitas</w:t>
      </w:r>
      <w:proofErr w:type="spellEnd"/>
      <w:r w:rsidRPr="00DF5296">
        <w:rPr>
          <w:rFonts w:ascii="Verdana" w:hAnsi="Verdana"/>
          <w:b/>
          <w:bCs/>
          <w:i/>
          <w:sz w:val="22"/>
          <w:szCs w:val="22"/>
          <w:lang w:val="es-CR"/>
        </w:rPr>
        <w:t xml:space="preserve">, 2000, </w:t>
      </w:r>
      <w:proofErr w:type="spellStart"/>
      <w:r w:rsidRPr="00DF5296">
        <w:rPr>
          <w:rFonts w:ascii="Verdana" w:hAnsi="Verdana"/>
          <w:b/>
          <w:bCs/>
          <w:i/>
          <w:sz w:val="22"/>
          <w:szCs w:val="22"/>
          <w:lang w:val="es-CR"/>
        </w:rPr>
        <w:t>Pág</w:t>
      </w:r>
      <w:proofErr w:type="spellEnd"/>
      <w:r w:rsidRPr="00DF5296">
        <w:rPr>
          <w:rFonts w:ascii="Verdana" w:hAnsi="Verdana"/>
          <w:b/>
          <w:bCs/>
          <w:i/>
          <w:sz w:val="22"/>
          <w:szCs w:val="22"/>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sidRPr="00DF5296">
        <w:rPr>
          <w:rFonts w:ascii="Verdana" w:hAnsi="Verdana"/>
          <w:b/>
          <w:bCs/>
          <w:i/>
          <w:sz w:val="22"/>
          <w:szCs w:val="22"/>
          <w:lang w:val="es-CR"/>
        </w:rPr>
        <w:t>y</w:t>
      </w:r>
      <w:proofErr w:type="gramEnd"/>
      <w:r w:rsidRPr="00DF5296">
        <w:rPr>
          <w:rFonts w:ascii="Verdana" w:hAnsi="Verdana"/>
          <w:b/>
          <w:bCs/>
          <w:i/>
          <w:sz w:val="22"/>
          <w:szCs w:val="22"/>
          <w:lang w:val="es-CR"/>
        </w:rPr>
        <w:t xml:space="preserve"> ante todo, si se está ante un acto acorde con la </w:t>
      </w:r>
      <w:proofErr w:type="spellStart"/>
      <w:r w:rsidRPr="00DF5296">
        <w:rPr>
          <w:rFonts w:ascii="Verdana" w:hAnsi="Verdana"/>
          <w:b/>
          <w:bCs/>
          <w:i/>
          <w:sz w:val="22"/>
          <w:szCs w:val="22"/>
          <w:lang w:val="es-CR"/>
        </w:rPr>
        <w:t>juricidad</w:t>
      </w:r>
      <w:proofErr w:type="spellEnd"/>
      <w:r w:rsidRPr="00DF5296">
        <w:rPr>
          <w:rFonts w:ascii="Verdana" w:hAnsi="Verdana"/>
          <w:b/>
          <w:bCs/>
          <w:i/>
          <w:sz w:val="22"/>
          <w:szCs w:val="22"/>
          <w:lang w:val="es-CR"/>
        </w:rPr>
        <w:t>, en donde se aplicó el correspondiente ordenamiento jurídico. La Sala Primera de la Corte Suprema de Justicia se ha referido a este elemento de la siguiente manera: "</w:t>
      </w:r>
      <w:r w:rsidRPr="00DF5296">
        <w:rPr>
          <w:rFonts w:ascii="Verdana" w:hAnsi="Verdana"/>
          <w:b/>
          <w:bCs/>
          <w:i/>
          <w:iCs/>
          <w:sz w:val="22"/>
          <w:szCs w:val="22"/>
          <w:lang w:val="es-CR"/>
        </w:rPr>
        <w:t>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Nº 1522 de las 14:20 horas del 8 de agosto de 1991). Consecuentemente, el acto administrativo cuya motivación se haga depender de la invocación genérica de una ley, es un acto administrativo arbitrario y nulo.</w:t>
      </w:r>
      <w:r w:rsidRPr="00DF5296">
        <w:rPr>
          <w:rFonts w:ascii="Verdana" w:hAnsi="Verdana"/>
          <w:b/>
          <w:bCs/>
          <w:i/>
          <w:sz w:val="22"/>
          <w:szCs w:val="22"/>
          <w:lang w:val="es-CR"/>
        </w:rPr>
        <w:t xml:space="preserve">” (Voto 48-1995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sidRPr="00DF5296">
        <w:rPr>
          <w:rFonts w:ascii="Verdana" w:hAnsi="Verdana"/>
          <w:b/>
          <w:bCs/>
          <w:i/>
          <w:sz w:val="22"/>
          <w:szCs w:val="22"/>
          <w:lang w:val="es-CR"/>
        </w:rPr>
        <w:t>antecedentes</w:t>
      </w:r>
      <w:proofErr w:type="gramEnd"/>
      <w:r w:rsidRPr="00DF5296">
        <w:rPr>
          <w:rFonts w:ascii="Verdana" w:hAnsi="Verdana"/>
          <w:b/>
          <w:bCs/>
          <w:i/>
          <w:sz w:val="22"/>
          <w:szCs w:val="22"/>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w:t>
      </w:r>
      <w:r w:rsidRPr="00DF5296">
        <w:rPr>
          <w:rFonts w:ascii="Verdana" w:hAnsi="Verdana"/>
          <w:b/>
          <w:bCs/>
          <w:i/>
          <w:sz w:val="22"/>
          <w:szCs w:val="22"/>
          <w:lang w:val="es-CR"/>
        </w:rPr>
        <w:lastRenderedPageBreak/>
        <w:t>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DF5296">
        <w:rPr>
          <w:rFonts w:ascii="Verdana" w:hAnsi="Verdana"/>
          <w:b/>
          <w:bCs/>
          <w:i/>
          <w:iCs/>
          <w:sz w:val="22"/>
          <w:szCs w:val="22"/>
          <w:lang w:val="es-CR"/>
        </w:rPr>
        <w:t>principio de trascendencia</w:t>
      </w:r>
      <w:r w:rsidRPr="00DF5296">
        <w:rPr>
          <w:rFonts w:ascii="Verdana" w:hAnsi="Verdana"/>
          <w:b/>
          <w:bCs/>
          <w:i/>
          <w:sz w:val="22"/>
          <w:szCs w:val="22"/>
          <w:lang w:val="es-CR"/>
        </w:rPr>
        <w:t>", en el tanto que el análisis de la suficiencia de la </w:t>
      </w:r>
      <w:proofErr w:type="spellStart"/>
      <w:r w:rsidRPr="00DF5296">
        <w:rPr>
          <w:rFonts w:ascii="Verdana" w:hAnsi="Verdana"/>
          <w:b/>
          <w:bCs/>
          <w:i/>
          <w:sz w:val="22"/>
          <w:szCs w:val="22"/>
          <w:lang w:val="es-CR"/>
        </w:rPr>
        <w:t>motivacióndebe</w:t>
      </w:r>
      <w:proofErr w:type="spellEnd"/>
      <w:r w:rsidRPr="00DF5296">
        <w:rPr>
          <w:rFonts w:ascii="Verdana" w:hAnsi="Verdana"/>
          <w:b/>
          <w:bCs/>
          <w:i/>
          <w:sz w:val="22"/>
          <w:szCs w:val="22"/>
          <w:lang w:val="es-CR"/>
        </w:rPr>
        <w:t xml:space="preserve"> atender a si con su ausencia se está incidiendo tanto el fin del acto como en la esfera de derechos del particular o si por el contrario, a pesar de encontrarse defectuosa o parcial, la fundamentación de alguna manera resulta </w:t>
      </w:r>
      <w:proofErr w:type="spellStart"/>
      <w:r w:rsidRPr="00DF5296">
        <w:rPr>
          <w:rFonts w:ascii="Verdana" w:hAnsi="Verdana"/>
          <w:b/>
          <w:bCs/>
          <w:i/>
          <w:sz w:val="22"/>
          <w:szCs w:val="22"/>
          <w:lang w:val="es-CR"/>
        </w:rPr>
        <w:t>aún</w:t>
      </w:r>
      <w:proofErr w:type="spellEnd"/>
      <w:r w:rsidRPr="00DF5296">
        <w:rPr>
          <w:rFonts w:ascii="Verdana" w:hAnsi="Verdana"/>
          <w:b/>
          <w:bCs/>
          <w:i/>
          <w:sz w:val="22"/>
          <w:szCs w:val="22"/>
          <w:lang w:val="es-CR"/>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w:t>
      </w:r>
      <w:proofErr w:type="spellStart"/>
      <w:r w:rsidRPr="00DF5296">
        <w:rPr>
          <w:rFonts w:ascii="Verdana" w:hAnsi="Verdana"/>
          <w:b/>
          <w:bCs/>
          <w:i/>
          <w:sz w:val="22"/>
          <w:szCs w:val="22"/>
          <w:lang w:val="es-CR"/>
        </w:rPr>
        <w:t>motivaciónse</w:t>
      </w:r>
      <w:proofErr w:type="spellEnd"/>
      <w:r w:rsidRPr="00DF5296">
        <w:rPr>
          <w:rFonts w:ascii="Verdana" w:hAnsi="Verdana"/>
          <w:b/>
          <w:bCs/>
          <w:i/>
          <w:sz w:val="22"/>
          <w:szCs w:val="22"/>
          <w:lang w:val="es-CR"/>
        </w:rPr>
        <w:t xml:space="preserve"> funde en la referencia </w:t>
      </w:r>
      <w:proofErr w:type="spellStart"/>
      <w:r w:rsidRPr="00DF5296">
        <w:rPr>
          <w:rFonts w:ascii="Verdana" w:hAnsi="Verdana"/>
          <w:b/>
          <w:bCs/>
          <w:i/>
          <w:sz w:val="22"/>
          <w:szCs w:val="22"/>
          <w:lang w:val="es-CR"/>
        </w:rPr>
        <w:t>explicita</w:t>
      </w:r>
      <w:proofErr w:type="spellEnd"/>
      <w:r w:rsidRPr="00DF5296">
        <w:rPr>
          <w:rFonts w:ascii="Verdana" w:hAnsi="Verdana"/>
          <w:b/>
          <w:bCs/>
          <w:i/>
          <w:sz w:val="22"/>
          <w:szCs w:val="22"/>
          <w:lang w:val="es-CR"/>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sidRPr="00DF5296">
        <w:rPr>
          <w:rFonts w:ascii="Verdana" w:hAnsi="Verdana"/>
          <w:b/>
          <w:bCs/>
          <w:i/>
          <w:sz w:val="22"/>
          <w:szCs w:val="22"/>
          <w:lang w:val="es-CR"/>
        </w:rPr>
        <w:t>intríseca</w:t>
      </w:r>
      <w:proofErr w:type="spellEnd"/>
      <w:r w:rsidRPr="00DF5296">
        <w:rPr>
          <w:rFonts w:ascii="Verdana" w:hAnsi="Verdana"/>
          <w:b/>
          <w:bCs/>
          <w:i/>
          <w:sz w:val="22"/>
          <w:szCs w:val="22"/>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proofErr w:type="gramStart"/>
      <w:r w:rsidRPr="00DF5296">
        <w:rPr>
          <w:rFonts w:ascii="Verdana" w:hAnsi="Verdana"/>
          <w:b/>
          <w:bCs/>
          <w:i/>
          <w:sz w:val="22"/>
          <w:szCs w:val="22"/>
          <w:lang w:val="es-CR"/>
        </w:rPr>
        <w:t>"...</w:t>
      </w:r>
      <w:r w:rsidRPr="00DF5296">
        <w:rPr>
          <w:rFonts w:ascii="Verdana" w:hAnsi="Verdana"/>
          <w:b/>
          <w:bCs/>
          <w:i/>
          <w:iCs/>
          <w:sz w:val="22"/>
          <w:szCs w:val="22"/>
          <w:lang w:val="es-CR"/>
        </w:rPr>
        <w:t>.</w:t>
      </w:r>
      <w:proofErr w:type="gramEnd"/>
      <w:r w:rsidRPr="00DF5296">
        <w:rPr>
          <w:rFonts w:ascii="Verdana" w:hAnsi="Verdana"/>
          <w:b/>
          <w:bCs/>
          <w:i/>
          <w:iCs/>
          <w:sz w:val="22"/>
          <w:szCs w:val="22"/>
          <w:lang w:val="es-CR"/>
        </w:rPr>
        <w:t xml:space="preserve">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w:t>
      </w:r>
      <w:r w:rsidRPr="00DF5296">
        <w:rPr>
          <w:rFonts w:ascii="Verdana" w:hAnsi="Verdana"/>
          <w:b/>
          <w:bCs/>
          <w:i/>
          <w:iCs/>
          <w:sz w:val="22"/>
          <w:szCs w:val="22"/>
          <w:lang w:val="es-CR"/>
        </w:rPr>
        <w:lastRenderedPageBreak/>
        <w:t xml:space="preserve">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w:t>
      </w:r>
      <w:proofErr w:type="gramStart"/>
      <w:r w:rsidRPr="00DF5296">
        <w:rPr>
          <w:rFonts w:ascii="Verdana" w:hAnsi="Verdana"/>
          <w:b/>
          <w:bCs/>
          <w:i/>
          <w:iCs/>
          <w:sz w:val="22"/>
          <w:szCs w:val="22"/>
          <w:lang w:val="es-CR"/>
        </w:rPr>
        <w:t>que</w:t>
      </w:r>
      <w:proofErr w:type="gramEnd"/>
      <w:r w:rsidRPr="00DF5296">
        <w:rPr>
          <w:rFonts w:ascii="Verdana" w:hAnsi="Verdana"/>
          <w:b/>
          <w:bCs/>
          <w:i/>
          <w:iCs/>
          <w:sz w:val="22"/>
          <w:szCs w:val="22"/>
          <w:lang w:val="es-CR"/>
        </w:rPr>
        <w:t xml:space="preserv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w:t>
      </w:r>
      <w:proofErr w:type="spellStart"/>
      <w:r w:rsidRPr="00DF5296">
        <w:rPr>
          <w:rFonts w:ascii="Verdana" w:hAnsi="Verdana"/>
          <w:b/>
          <w:bCs/>
          <w:i/>
          <w:iCs/>
          <w:sz w:val="22"/>
          <w:szCs w:val="22"/>
          <w:lang w:val="es-CR"/>
        </w:rPr>
        <w:t>negocial</w:t>
      </w:r>
      <w:proofErr w:type="spellEnd"/>
      <w:r w:rsidRPr="00DF5296">
        <w:rPr>
          <w:rFonts w:ascii="Verdana" w:hAnsi="Verdana"/>
          <w:b/>
          <w:bCs/>
          <w:i/>
          <w:iCs/>
          <w:sz w:val="22"/>
          <w:szCs w:val="22"/>
          <w:lang w:val="es-CR"/>
        </w:rPr>
        <w:t>, el término de la vigencia del contrato originalmente pactada, descartando la expectativa que podía existir en cuanto a la posibilidad de una prórroga"</w:t>
      </w:r>
      <w:r w:rsidRPr="00DF5296">
        <w:rPr>
          <w:rFonts w:ascii="Verdana" w:hAnsi="Verdana"/>
          <w:b/>
          <w:bCs/>
          <w:i/>
          <w:sz w:val="22"/>
          <w:szCs w:val="22"/>
          <w:lang w:val="es-CR"/>
        </w:rPr>
        <w:t xml:space="preserve">. De conformidad con los anteriores razonamientos, todo análisis que haga el Tribunal de </w:t>
      </w:r>
      <w:proofErr w:type="spellStart"/>
      <w:r w:rsidRPr="00DF5296">
        <w:rPr>
          <w:rFonts w:ascii="Verdana" w:hAnsi="Verdana"/>
          <w:b/>
          <w:bCs/>
          <w:i/>
          <w:sz w:val="22"/>
          <w:szCs w:val="22"/>
          <w:lang w:val="es-CR"/>
        </w:rPr>
        <w:t>lamotivación</w:t>
      </w:r>
      <w:proofErr w:type="spellEnd"/>
      <w:r w:rsidRPr="00DF5296">
        <w:rPr>
          <w:rFonts w:ascii="Verdana" w:hAnsi="Verdana"/>
          <w:b/>
          <w:bCs/>
          <w:i/>
          <w:sz w:val="22"/>
          <w:szCs w:val="22"/>
          <w:lang w:val="es-CR"/>
        </w:rPr>
        <w:t>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355FEB" w:rsidRPr="00DF5296" w:rsidRDefault="00355FEB" w:rsidP="00355FEB">
      <w:pPr>
        <w:ind w:right="340"/>
        <w:jc w:val="both"/>
        <w:rPr>
          <w:sz w:val="22"/>
          <w:szCs w:val="22"/>
        </w:rPr>
      </w:pPr>
    </w:p>
    <w:p w:rsidR="00355FEB" w:rsidRPr="00DF5296" w:rsidRDefault="00355FEB" w:rsidP="00355FEB">
      <w:pPr>
        <w:shd w:val="clear" w:color="auto" w:fill="FFFFFF"/>
        <w:spacing w:before="136" w:after="136" w:line="360" w:lineRule="auto"/>
        <w:jc w:val="both"/>
        <w:rPr>
          <w:rFonts w:ascii="Verdana" w:hAnsi="Verdana" w:cs="Arial"/>
          <w:b/>
          <w:bCs/>
          <w:sz w:val="22"/>
          <w:szCs w:val="22"/>
          <w:lang w:val="es-CR" w:eastAsia="es-CR"/>
        </w:rPr>
      </w:pPr>
      <w:r w:rsidRPr="00DF5296">
        <w:rPr>
          <w:rFonts w:ascii="Verdana" w:hAnsi="Verdana" w:cs="Arial"/>
          <w:b/>
          <w:bCs/>
          <w:sz w:val="22"/>
          <w:szCs w:val="22"/>
          <w:lang w:val="es-CR" w:eastAsia="es-CR"/>
        </w:rPr>
        <w:t>LOS CONTRATOS CON EL ESTADO</w:t>
      </w:r>
    </w:p>
    <w:p w:rsidR="00355FEB" w:rsidRPr="00DF5296" w:rsidRDefault="00355FEB" w:rsidP="00355FEB">
      <w:pPr>
        <w:spacing w:line="360" w:lineRule="auto"/>
        <w:jc w:val="both"/>
        <w:rPr>
          <w:rFonts w:ascii="Verdana" w:hAnsi="Verdana" w:cs="Arial"/>
          <w:sz w:val="22"/>
          <w:szCs w:val="22"/>
        </w:rPr>
      </w:pPr>
      <w:r w:rsidRPr="00DF5296">
        <w:rPr>
          <w:rFonts w:ascii="Verdana" w:hAnsi="Verdana" w:cs="Arial"/>
          <w:sz w:val="22"/>
          <w:szCs w:val="22"/>
        </w:rPr>
        <w:t>El contrato administrativo es aquel celebrado entre un órgano de la Administración Pública con un particular u otro órgano público, cuyo objetivo es satisfacer de manera directa e inmediata un fin de interés público, a través de la aplicación de un régimen normativo de derecho administrativo.</w:t>
      </w:r>
    </w:p>
    <w:p w:rsidR="00355FEB" w:rsidRPr="00DF5296" w:rsidRDefault="00355FEB" w:rsidP="00355FEB">
      <w:pPr>
        <w:spacing w:line="360" w:lineRule="auto"/>
        <w:rPr>
          <w:rFonts w:ascii="Verdana" w:hAnsi="Verdana" w:cs="Arial"/>
          <w:sz w:val="22"/>
          <w:szCs w:val="22"/>
        </w:rPr>
      </w:pPr>
    </w:p>
    <w:p w:rsidR="00355FEB" w:rsidRPr="00DF5296" w:rsidRDefault="00355FEB" w:rsidP="00355FEB">
      <w:pPr>
        <w:spacing w:line="360" w:lineRule="auto"/>
        <w:jc w:val="both"/>
        <w:rPr>
          <w:rFonts w:ascii="Verdana" w:hAnsi="Verdana" w:cs="Arial"/>
          <w:sz w:val="22"/>
          <w:szCs w:val="22"/>
        </w:rPr>
      </w:pPr>
      <w:r w:rsidRPr="00DF5296">
        <w:rPr>
          <w:rFonts w:ascii="Verdana" w:hAnsi="Verdana" w:cs="Arial"/>
          <w:sz w:val="22"/>
          <w:szCs w:val="22"/>
        </w:rPr>
        <w:t>El contrato de concesión de servicios públicos configura la contratación de un modo de gestión del servicio público que consiste en confiar a un particular la operación o ejecución del servicio público, pero sin traspasar el ejercicio de potestades públicas, es una forma de gestión indirecta, para asegurar el funcionamiento de los servicios públicos.</w:t>
      </w:r>
    </w:p>
    <w:p w:rsidR="00355FEB" w:rsidRPr="00DF5296" w:rsidRDefault="00355FEB" w:rsidP="00355FEB">
      <w:pPr>
        <w:spacing w:line="360" w:lineRule="auto"/>
        <w:rPr>
          <w:rFonts w:ascii="Verdana" w:hAnsi="Verdana"/>
          <w:b/>
          <w:bCs/>
          <w:sz w:val="22"/>
          <w:szCs w:val="22"/>
        </w:rPr>
      </w:pPr>
    </w:p>
    <w:p w:rsidR="00355FEB" w:rsidRPr="00DF5296" w:rsidRDefault="00355FEB" w:rsidP="00355FEB">
      <w:pPr>
        <w:spacing w:line="360" w:lineRule="auto"/>
        <w:jc w:val="both"/>
        <w:rPr>
          <w:rFonts w:ascii="Verdana" w:hAnsi="Verdana"/>
          <w:b/>
          <w:bCs/>
          <w:sz w:val="22"/>
          <w:szCs w:val="22"/>
        </w:rPr>
      </w:pPr>
      <w:r w:rsidRPr="00DF5296">
        <w:rPr>
          <w:rFonts w:ascii="Verdana" w:hAnsi="Verdana"/>
          <w:bCs/>
          <w:sz w:val="22"/>
          <w:szCs w:val="22"/>
        </w:rPr>
        <w:lastRenderedPageBreak/>
        <w:t>El contrato de concesión lo otorga la Administración a particulares o a empresas; para la prestación del servicio público del transporte remunerado de personas, el cual tiene como objetivo fundamental la satisfacción del interés general. El contrato de concesión le permite al particular desempeñar actividades que son propias del Estado, para explotar actividades a su nombre, pero este mantiene su obligación de fiscalización y control del servicio.</w:t>
      </w:r>
    </w:p>
    <w:p w:rsidR="00355FEB" w:rsidRPr="00DF5296" w:rsidRDefault="00355FEB" w:rsidP="00355FEB">
      <w:pPr>
        <w:shd w:val="clear" w:color="auto" w:fill="FFFFFF"/>
        <w:spacing w:line="360" w:lineRule="auto"/>
        <w:rPr>
          <w:color w:val="000000"/>
          <w:sz w:val="22"/>
          <w:szCs w:val="22"/>
        </w:rPr>
      </w:pPr>
    </w:p>
    <w:p w:rsidR="00355FEB" w:rsidRPr="00DF5296" w:rsidRDefault="00355FEB" w:rsidP="00355FEB">
      <w:pPr>
        <w:spacing w:line="360" w:lineRule="auto"/>
        <w:jc w:val="both"/>
        <w:rPr>
          <w:rFonts w:ascii="Arial" w:hAnsi="Arial" w:cs="Arial"/>
          <w:i/>
          <w:sz w:val="22"/>
          <w:szCs w:val="22"/>
        </w:rPr>
      </w:pPr>
      <w:r w:rsidRPr="00DF5296">
        <w:rPr>
          <w:rFonts w:ascii="Arial" w:hAnsi="Arial" w:cs="Arial"/>
          <w:sz w:val="22"/>
          <w:szCs w:val="22"/>
        </w:rPr>
        <w:t xml:space="preserve">El contrato administrativo, señala </w:t>
      </w:r>
      <w:proofErr w:type="spellStart"/>
      <w:r w:rsidRPr="00DF5296">
        <w:rPr>
          <w:rFonts w:ascii="Arial" w:hAnsi="Arial" w:cs="Arial"/>
          <w:sz w:val="22"/>
          <w:szCs w:val="22"/>
        </w:rPr>
        <w:t>Dromi</w:t>
      </w:r>
      <w:proofErr w:type="spellEnd"/>
      <w:r w:rsidRPr="00DF5296">
        <w:rPr>
          <w:rFonts w:ascii="Arial" w:hAnsi="Arial" w:cs="Arial"/>
          <w:sz w:val="22"/>
          <w:szCs w:val="22"/>
        </w:rPr>
        <w:t xml:space="preserve">, </w:t>
      </w:r>
      <w:r w:rsidRPr="00DF5296">
        <w:rPr>
          <w:rFonts w:ascii="Arial" w:hAnsi="Arial" w:cs="Arial"/>
          <w:sz w:val="22"/>
          <w:szCs w:val="22"/>
          <w:u w:val="single"/>
        </w:rPr>
        <w:t>en el Manual de Derecho Administrativo</w:t>
      </w:r>
      <w:r w:rsidRPr="00DF5296">
        <w:rPr>
          <w:rFonts w:ascii="Arial" w:hAnsi="Arial" w:cs="Arial"/>
          <w:sz w:val="22"/>
          <w:szCs w:val="22"/>
        </w:rPr>
        <w:t xml:space="preserve">, Tomo I, que </w:t>
      </w:r>
      <w:r w:rsidRPr="00DF5296">
        <w:rPr>
          <w:rFonts w:ascii="Arial" w:hAnsi="Arial" w:cs="Arial"/>
          <w:i/>
          <w:sz w:val="22"/>
          <w:szCs w:val="22"/>
        </w:rPr>
        <w:t xml:space="preserve">“El contrato es una de las técnicas de colaboración de los administrados con la Administración, en materia de suministros, servicios públicos, obras públicas, etcétera. Quien contrata con la Administración, no es un </w:t>
      </w:r>
      <w:proofErr w:type="spellStart"/>
      <w:r w:rsidRPr="00DF5296">
        <w:rPr>
          <w:rFonts w:ascii="Arial" w:hAnsi="Arial" w:cs="Arial"/>
          <w:i/>
          <w:sz w:val="22"/>
          <w:szCs w:val="22"/>
        </w:rPr>
        <w:t>cocontratante</w:t>
      </w:r>
      <w:proofErr w:type="spellEnd"/>
      <w:r w:rsidRPr="00DF5296">
        <w:rPr>
          <w:rFonts w:ascii="Arial" w:hAnsi="Arial" w:cs="Arial"/>
          <w:i/>
          <w:sz w:val="22"/>
          <w:szCs w:val="22"/>
        </w:rPr>
        <w:t xml:space="preserve"> ordinario, sino un colaborador que coopera en la ejecución de cometidos públicos, aun actuando en situaciones de subordinación económica-jurídica respecto de las personas públicas comitentes. En tal sentido la jurisprudencia ha afirmado:” Los contratos administrativos deben cumplirse de buena fe … por lo que no debe tratarse al contratista como un adversario al que sea preciso someter con dureza, sino que debe tenérsele como un colaborador a quien, cuando menos, corresponde indicarle con certeza las obligaciones a las que está sujeto…”</w:t>
      </w:r>
    </w:p>
    <w:p w:rsidR="00355FEB" w:rsidRPr="00DF5296" w:rsidRDefault="00355FEB" w:rsidP="00355FEB">
      <w:pPr>
        <w:spacing w:line="360" w:lineRule="auto"/>
        <w:jc w:val="both"/>
        <w:rPr>
          <w:rFonts w:ascii="Arial" w:hAnsi="Arial" w:cs="Arial"/>
          <w:b/>
          <w:sz w:val="22"/>
          <w:szCs w:val="22"/>
        </w:rPr>
      </w:pPr>
    </w:p>
    <w:p w:rsidR="00355FEB" w:rsidRPr="00DF5296" w:rsidRDefault="00355FEB" w:rsidP="00355FEB">
      <w:pPr>
        <w:spacing w:line="360" w:lineRule="auto"/>
        <w:jc w:val="both"/>
        <w:rPr>
          <w:rFonts w:ascii="Verdana" w:hAnsi="Verdana" w:cs="Arial"/>
          <w:b/>
          <w:sz w:val="22"/>
          <w:szCs w:val="22"/>
        </w:rPr>
      </w:pPr>
      <w:r w:rsidRPr="00DF5296">
        <w:rPr>
          <w:rFonts w:ascii="Verdana" w:hAnsi="Verdana" w:cs="Arial"/>
          <w:b/>
          <w:sz w:val="22"/>
          <w:szCs w:val="22"/>
        </w:rPr>
        <w:t>SOBRE LOS PRINCIPIOS DEL SERVICIO PÚBLICO</w:t>
      </w:r>
    </w:p>
    <w:p w:rsidR="00355FEB" w:rsidRPr="00DF5296" w:rsidRDefault="00355FEB" w:rsidP="00355FEB">
      <w:pPr>
        <w:spacing w:line="360" w:lineRule="auto"/>
        <w:jc w:val="both"/>
        <w:rPr>
          <w:rFonts w:ascii="Verdana" w:hAnsi="Verdana"/>
          <w:sz w:val="22"/>
          <w:szCs w:val="22"/>
        </w:rPr>
      </w:pPr>
    </w:p>
    <w:p w:rsidR="00355FEB" w:rsidRPr="00DF5296" w:rsidRDefault="00355FEB" w:rsidP="00355FEB">
      <w:pPr>
        <w:spacing w:line="360" w:lineRule="auto"/>
        <w:jc w:val="both"/>
        <w:rPr>
          <w:rFonts w:ascii="Verdana" w:hAnsi="Verdana"/>
          <w:sz w:val="22"/>
          <w:szCs w:val="22"/>
        </w:rPr>
      </w:pPr>
      <w:r w:rsidRPr="00DF5296">
        <w:rPr>
          <w:rFonts w:ascii="Verdana" w:hAnsi="Verdana"/>
          <w:sz w:val="22"/>
          <w:szCs w:val="22"/>
        </w:rPr>
        <w:t xml:space="preserve">Sobre los Principios del Servicio Público, la Sala Primera de la Corte Suprema de Justicia, mediante Sentencia N°000577-F-2007, señaló lo siguiente: </w:t>
      </w:r>
    </w:p>
    <w:p w:rsidR="00355FEB" w:rsidRPr="009F7554" w:rsidRDefault="00355FEB" w:rsidP="00355FEB">
      <w:pPr>
        <w:spacing w:before="120" w:after="120" w:line="360" w:lineRule="auto"/>
        <w:ind w:left="567" w:right="849"/>
        <w:jc w:val="both"/>
        <w:rPr>
          <w:rFonts w:ascii="Verdana" w:hAnsi="Verdana"/>
          <w:sz w:val="20"/>
          <w:szCs w:val="20"/>
        </w:rPr>
      </w:pPr>
      <w:r w:rsidRPr="009F7554">
        <w:rPr>
          <w:rFonts w:ascii="Verdana" w:hAnsi="Verdana"/>
          <w:sz w:val="20"/>
          <w:szCs w:val="20"/>
        </w:rPr>
        <w:t xml:space="preserve">“El Estado está llamado a satisfacer los intereses públicos, mediante el despliegue de una serie de actividades y conductas que permitan ofrecer la prestación de servicios esenciales. Es precisamente esa satisfacción su finalidad intrínseca, propia de su dimensión teleológica. Desde este plano, el marco normativo le impone, como derivado de una percepción positiva del principio de legalidad, un deber prestacional de los servicios públicos, actividades que guardan una especial vinculación de utilidad con el interés público y </w:t>
      </w:r>
      <w:proofErr w:type="gramStart"/>
      <w:r w:rsidRPr="009F7554">
        <w:rPr>
          <w:rFonts w:ascii="Verdana" w:hAnsi="Verdana"/>
          <w:sz w:val="20"/>
          <w:szCs w:val="20"/>
        </w:rPr>
        <w:t>que</w:t>
      </w:r>
      <w:proofErr w:type="gramEnd"/>
      <w:r w:rsidRPr="009F7554">
        <w:rPr>
          <w:rFonts w:ascii="Verdana" w:hAnsi="Verdana"/>
          <w:sz w:val="20"/>
          <w:szCs w:val="20"/>
        </w:rPr>
        <w:t xml:space="preserve"> por tal, deben ser objeto de una cobertura eficiente, igualitaria, continua y adaptable (doctrina del numeral 4 de la Ley General de la Administración Pública). Para ello, es claro que no en pocas ocasiones, no cuenta con los medios económicos y materiales que le permitan </w:t>
      </w:r>
      <w:r w:rsidRPr="009F7554">
        <w:rPr>
          <w:rFonts w:ascii="Verdana" w:hAnsi="Verdana"/>
          <w:sz w:val="20"/>
          <w:szCs w:val="20"/>
        </w:rPr>
        <w:lastRenderedPageBreak/>
        <w:t xml:space="preserve">realizar de manera directa las conductas requeridas. Por ende, el Ordenamiento Jurídico le ofrece alternativas viables que permiten cumplir con este cometido, entre otras, la contratación administrativa. En este sentido, surge la figura de la concesión de servicios, contrato mediante el cual, la Administración concede a un tercero la ejecución de una actividad que en principio le incumbe asegurarla. Se trata de los denominados servicios públicos impropios. En estos supuestos, se está frente a relaciones bilaterales con efectos trilaterales, pues si bien el contrato administrativo se suscribe entre el Estado y el concesionario, esa relación jurídico administrativa tiene incidencia directa en la esfera jurídica de los destinatarios del servicio. Esto es evidente si se considera que la vinculación con el contratista lo es para la satisfacción de necesidades de la colectividad. En la suscripción del contrato convergen el Estado y el operador del servicio, pero ya a nivel de su ejecución, la relación es triangular pues se incluye dentro del marco de sus efectos al usuario, quien recibe el servicio, debe cancelar al concesionario por esa prestación y la Administración concedente debe fiscalizar la actividad y fijar el precio o tarifa. Más simple, el concesionario opera el servicio delegado por el Estado acorde a lo dispuesto por el concedente, quien controla y fiscaliza la prestación eficiente en beneficio del usuario (finalidad). Este último a su vez constituye el parámetro de satisfacción y a la postre, objeto primordial del contrato, pero en contraprestación, debe cancelar el precio fijado por la Administración. Por su parte, esta debe procurar la armonía de las partes involucradas, buscando siempre la prosecución del interés público en los términos del canon 113 de la Ley General de la Administración Pública. El régimen jurídico de esta vinculación administrativa se sustenta sobre dos principios esenciales. Primero, la delegación no supone la desvinculación del Estado del servicio. Todo lo contrario, siendo una actividad que en tesis de principio le corresponde ejecutar, debe mantener una vigilancia, fiscalización y control de la prestación del servicio, lo que se concreta en varios niveles. Por un lado, es competencia del órgano o ente público la definición de los criterios bajo los cuales debe prestarse el servicio, lo que incluye el régimen de explotación propiamente, dentro de este, el detalle de cómo debe ejecutarse el servicio y los aspectos remunerativos. Por otro, en el marco de sus potestades de tutela, debe propiciar la ejecución debida y oportuna del servicio a fin de asegurar que se ajuste </w:t>
      </w:r>
      <w:r w:rsidRPr="009F7554">
        <w:rPr>
          <w:rFonts w:ascii="Verdana" w:hAnsi="Verdana"/>
          <w:sz w:val="20"/>
          <w:szCs w:val="20"/>
        </w:rPr>
        <w:lastRenderedPageBreak/>
        <w:t>a los términos que ha establecido para ello, de modo que cumpla con su finalidad de satisfacer necesidades colectivas. Esta última dimensión le permite imponer sanciones por el incumplimiento de las condiciones pactadas, por prestación deficiente o bien reorientar la conducta del concesionario a su debido cauce. Segundo, es necesario asegurar al concesionario el beneficio económico que ha sido convenido. Es claro que el particular ingresa en la relación jurídico administrativa para obtener un lucro, en este caso, producto de la explotación de un servicio público. De lo anterior se desprende que incumbe al concedente fijar todo lo relacionado a la organización y funcionamiento del servicio, en lo cual, le acude la potestad de modificación unilateral del contrato. Como derivado, el concesionario debe prestar el servicio acorde a esas reglas. Ahora bien, esta potestad de establecer las condiciones de la concesión puede referirse a aspectos técnicos, comerciales o económicos. Parte de esos referentes es precisamente la tarifa del servicio. Como en todo contrato administrativo, el concesionario tiene un derecho a que se mantenga el equilibrio de la ecuación financiera de la concesión. Sobre el particular, el tema ya ha sido de extenso desarrollo por parte de la Sala Constitucional, entre muchos otros, en los votos 998-98 y 6432-98. En este último señaló en lo relevante: “</w:t>
      </w:r>
      <w:r w:rsidRPr="009F7554">
        <w:rPr>
          <w:rFonts w:ascii="Verdana" w:hAnsi="Verdana"/>
          <w:i/>
          <w:iCs/>
          <w:sz w:val="20"/>
          <w:szCs w:val="20"/>
        </w:rPr>
        <w:t>Desde este punto de vista y siguiendo lo ya dicho por la Sala en sus Sentencias Nos. 785-90 y 1801-90, los reajustes de precios no son de carácter contractual, de tal forma que las partes puedan libremente pactarlos o no, sino que están reconocidos en todo contrato que se celebre con el Estado (en sentido lato), para obtener la compensación de los mayores costos causados en la ejecución del objeto convenido, derecho que nace a la vida jurídica desde el momento en que se presenta la oferta respectiva. En síntesis, los reajustes de precios no constituyen una indemnización que reconoce el Estado voluntariamente y paga al contratista, sino, más bien, un mecanismo jurídico de restitución del valor real de la obligación, de la restitución del equilibrio financiero del contrato, de manera que se pague lo que previamente se convino, es decir, es el pago integral del precio, para que no exista, ni perjuicio para el contratista, ni un enriquecimiento indebido de parte del Estado…</w:t>
      </w:r>
      <w:r w:rsidRPr="009F7554">
        <w:rPr>
          <w:rFonts w:ascii="Verdana" w:hAnsi="Verdana"/>
          <w:sz w:val="20"/>
          <w:szCs w:val="20"/>
        </w:rPr>
        <w:t xml:space="preserve">”   Una de las características que diferencian la concesión de servicios de otros contratos administrativos es que el precio no está a cargo de la Administración, sino de los usuarios, quienes pagarán directamente al </w:t>
      </w:r>
      <w:r w:rsidRPr="009F7554">
        <w:rPr>
          <w:rFonts w:ascii="Verdana" w:hAnsi="Verdana"/>
          <w:sz w:val="20"/>
          <w:szCs w:val="20"/>
        </w:rPr>
        <w:lastRenderedPageBreak/>
        <w:t xml:space="preserve">concesionario la tarifa que de antemano ha fijado el concedente, la </w:t>
      </w:r>
      <w:proofErr w:type="gramStart"/>
      <w:r w:rsidRPr="009F7554">
        <w:rPr>
          <w:rFonts w:ascii="Verdana" w:hAnsi="Verdana"/>
          <w:sz w:val="20"/>
          <w:szCs w:val="20"/>
        </w:rPr>
        <w:t>que</w:t>
      </w:r>
      <w:proofErr w:type="gramEnd"/>
      <w:r w:rsidRPr="009F7554">
        <w:rPr>
          <w:rFonts w:ascii="Verdana" w:hAnsi="Verdana"/>
          <w:sz w:val="20"/>
          <w:szCs w:val="20"/>
        </w:rPr>
        <w:t xml:space="preserve"> en orden a la convergencia de los diversos intereses en juego, debe ser justa y equilibrada, de manera que se permita al operador obtener una ganancia, y al usuario pagar lo debido por un servicio de calidad……” </w:t>
      </w:r>
    </w:p>
    <w:p w:rsidR="00355FEB" w:rsidRPr="009F7554" w:rsidRDefault="00355FEB" w:rsidP="00355FEB">
      <w:pPr>
        <w:pStyle w:val="NormalWeb"/>
        <w:jc w:val="both"/>
        <w:rPr>
          <w:rFonts w:ascii="Verdana" w:hAnsi="Verdana"/>
          <w:b/>
          <w:sz w:val="22"/>
          <w:szCs w:val="22"/>
        </w:rPr>
      </w:pPr>
      <w:r w:rsidRPr="00DF5296">
        <w:rPr>
          <w:rFonts w:ascii="Verdana" w:hAnsi="Verdana"/>
          <w:b/>
          <w:sz w:val="22"/>
          <w:szCs w:val="22"/>
        </w:rPr>
        <w:t>DEL CASO CONCRETO</w:t>
      </w:r>
    </w:p>
    <w:p w:rsidR="00355FEB" w:rsidRPr="00DF5296" w:rsidRDefault="00355FEB" w:rsidP="00355FEB">
      <w:pPr>
        <w:jc w:val="both"/>
        <w:rPr>
          <w:rFonts w:ascii="Verdana" w:hAnsi="Verdana"/>
          <w:sz w:val="22"/>
          <w:szCs w:val="22"/>
        </w:rPr>
      </w:pPr>
      <w:r w:rsidRPr="00DF5296">
        <w:rPr>
          <w:rFonts w:ascii="Verdana" w:hAnsi="Verdana"/>
          <w:sz w:val="22"/>
          <w:szCs w:val="22"/>
        </w:rPr>
        <w:t xml:space="preserve">En el presente caso considera este Tribunal que la recurrente no sustenta sus argumentos en estudio técnico que permita a este despacho analizar el </w:t>
      </w:r>
      <w:r w:rsidRPr="00DF5296">
        <w:rPr>
          <w:rFonts w:ascii="Verdana" w:hAnsi="Verdana"/>
          <w:b/>
          <w:sz w:val="22"/>
          <w:szCs w:val="22"/>
          <w:lang w:val="es-MX"/>
        </w:rPr>
        <w:t xml:space="preserve">MANUAL PARA LA EVALUACIÓN Y CALIFICACIÓN DE LA CALIDAD DEL SERVICIO PUBLICO DE TRANSPORTE REMUNERADO DE PERSONAS, </w:t>
      </w:r>
      <w:r w:rsidRPr="00DF5296">
        <w:rPr>
          <w:rFonts w:ascii="Verdana" w:hAnsi="Verdana"/>
          <w:sz w:val="22"/>
          <w:szCs w:val="22"/>
          <w:lang w:val="es-MX"/>
        </w:rPr>
        <w:t>aprobado por la Administración y contraponerlo a un estudio realizado por profesionales en la materia,</w:t>
      </w:r>
      <w:r>
        <w:rPr>
          <w:rFonts w:ascii="Verdana" w:hAnsi="Verdana"/>
          <w:sz w:val="22"/>
          <w:szCs w:val="22"/>
          <w:lang w:val="es-MX"/>
        </w:rPr>
        <w:t xml:space="preserve"> debidamente sustentado</w:t>
      </w:r>
      <w:r w:rsidRPr="00DF5296">
        <w:rPr>
          <w:rFonts w:ascii="Verdana" w:hAnsi="Verdana"/>
          <w:sz w:val="22"/>
          <w:szCs w:val="22"/>
          <w:lang w:val="es-MX"/>
        </w:rPr>
        <w:t xml:space="preserve"> que emitan criterios técnicos de peso que determinen la improcedencia del instrumento aprobado, pero dentro de consideraciones objetivas sustentadas y que trasciendan al simple dicho de la recurrente como ocurre en el presente asunto.</w:t>
      </w:r>
    </w:p>
    <w:p w:rsidR="00355FEB" w:rsidRPr="00DF5296" w:rsidRDefault="00355FEB" w:rsidP="00355FEB">
      <w:pPr>
        <w:jc w:val="both"/>
        <w:rPr>
          <w:rFonts w:ascii="Verdana" w:hAnsi="Verdana"/>
          <w:sz w:val="22"/>
          <w:szCs w:val="22"/>
        </w:rPr>
      </w:pPr>
    </w:p>
    <w:p w:rsidR="00355FEB" w:rsidRPr="00DF5296" w:rsidRDefault="00355FEB" w:rsidP="00355FEB">
      <w:pPr>
        <w:jc w:val="both"/>
        <w:rPr>
          <w:rFonts w:ascii="Verdana" w:hAnsi="Verdana"/>
          <w:sz w:val="22"/>
          <w:szCs w:val="22"/>
        </w:rPr>
      </w:pPr>
      <w:r w:rsidRPr="00DF5296">
        <w:rPr>
          <w:rFonts w:ascii="Verdana" w:hAnsi="Verdana"/>
          <w:sz w:val="22"/>
          <w:szCs w:val="22"/>
        </w:rPr>
        <w:t>Este Tribunal Administrativo de Transporte en el análisis del caso que nos ocupa considera pertinente referirse a lo siguiente:</w:t>
      </w:r>
    </w:p>
    <w:p w:rsidR="00355FEB" w:rsidRPr="00DF5296" w:rsidRDefault="00355FEB" w:rsidP="00355FEB">
      <w:pPr>
        <w:jc w:val="both"/>
        <w:rPr>
          <w:rFonts w:ascii="Verdana" w:hAnsi="Verdana"/>
          <w:sz w:val="22"/>
          <w:szCs w:val="22"/>
        </w:rPr>
      </w:pPr>
      <w:r w:rsidRPr="00DF5296">
        <w:rPr>
          <w:rFonts w:ascii="Verdana" w:hAnsi="Verdana"/>
          <w:sz w:val="22"/>
          <w:szCs w:val="22"/>
        </w:rPr>
        <w:t xml:space="preserve">  </w:t>
      </w:r>
    </w:p>
    <w:p w:rsidR="00355FEB" w:rsidRPr="00DF5296" w:rsidRDefault="00355FEB" w:rsidP="00355FEB">
      <w:pPr>
        <w:jc w:val="both"/>
        <w:rPr>
          <w:rFonts w:ascii="Verdana" w:hAnsi="Verdana"/>
          <w:b/>
          <w:sz w:val="22"/>
          <w:szCs w:val="22"/>
          <w:u w:val="single"/>
        </w:rPr>
      </w:pPr>
      <w:r w:rsidRPr="00DF5296">
        <w:rPr>
          <w:rFonts w:ascii="Verdana" w:hAnsi="Verdana"/>
          <w:sz w:val="22"/>
          <w:szCs w:val="22"/>
        </w:rPr>
        <w:t xml:space="preserve">El Decreto Ejecutivo N°28833-MOPT y sus reformas, “Reglamento para la Evaluación de la Calidad del Servicio Público de Transporte Remunerado de Personas” </w:t>
      </w:r>
      <w:r w:rsidRPr="00DF5296">
        <w:rPr>
          <w:rFonts w:ascii="Verdana" w:hAnsi="Verdana"/>
          <w:b/>
          <w:sz w:val="22"/>
          <w:szCs w:val="22"/>
          <w:u w:val="single"/>
        </w:rPr>
        <w:t>publicado en el Diario Oficial La Gaceta  N° 158 del 18 de agosto del 2000</w:t>
      </w:r>
      <w:r w:rsidRPr="00DF5296">
        <w:rPr>
          <w:rFonts w:ascii="Verdana" w:hAnsi="Verdana"/>
          <w:sz w:val="22"/>
          <w:szCs w:val="22"/>
        </w:rPr>
        <w:t xml:space="preserve">,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es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 3503 que autoriza al MOPT a emitir reglamentos que regulen la actividad del transporte de personas; </w:t>
      </w:r>
      <w:r w:rsidRPr="00DF5296">
        <w:rPr>
          <w:rFonts w:ascii="Verdana" w:hAnsi="Verdana"/>
          <w:b/>
          <w:sz w:val="22"/>
          <w:szCs w:val="22"/>
          <w:u w:val="single"/>
        </w:rPr>
        <w:t>medios normativos los cuales son de obligatorio acatamiento por los operadores de transporte público autorizados.</w:t>
      </w:r>
    </w:p>
    <w:p w:rsidR="00355FEB" w:rsidRPr="00DF5296" w:rsidRDefault="00355FEB" w:rsidP="00355FEB">
      <w:pPr>
        <w:jc w:val="both"/>
        <w:rPr>
          <w:rFonts w:ascii="Verdana" w:hAnsi="Verdana"/>
          <w:sz w:val="22"/>
          <w:szCs w:val="22"/>
        </w:rPr>
      </w:pPr>
    </w:p>
    <w:p w:rsidR="00355FEB" w:rsidRPr="00DF5296" w:rsidRDefault="00355FEB" w:rsidP="00355FEB">
      <w:pPr>
        <w:jc w:val="both"/>
        <w:rPr>
          <w:rFonts w:ascii="Verdana" w:hAnsi="Verdana"/>
          <w:sz w:val="22"/>
          <w:szCs w:val="22"/>
        </w:rPr>
      </w:pPr>
      <w:r w:rsidRPr="00DF5296">
        <w:rPr>
          <w:rFonts w:ascii="Verdana" w:hAnsi="Verdana"/>
          <w:sz w:val="22"/>
          <w:szCs w:val="22"/>
        </w:rPr>
        <w:t>El Decreto Ejecutivo N°28833-MOPT y sus reformas, “Reglamento para la Evaluación de la Calidad del Servicio Público de Transporte Remunerado de Personas”, dispone en los artículos 13, 15, 16, 25, 26, 31 y en el transitorio III, lo siguiente:</w:t>
      </w:r>
    </w:p>
    <w:p w:rsidR="00355FEB" w:rsidRPr="00B577DD" w:rsidRDefault="00355FEB" w:rsidP="00355FEB">
      <w:pPr>
        <w:spacing w:before="100" w:beforeAutospacing="1" w:after="100" w:afterAutospacing="1"/>
        <w:ind w:left="567" w:right="737"/>
        <w:jc w:val="both"/>
        <w:rPr>
          <w:rFonts w:ascii="Verdana" w:hAnsi="Verdana" w:cs="Arial"/>
          <w:color w:val="000000"/>
          <w:sz w:val="20"/>
          <w:szCs w:val="20"/>
          <w:lang w:eastAsia="es-MX"/>
        </w:rPr>
      </w:pPr>
      <w:r w:rsidRPr="00B577DD">
        <w:rPr>
          <w:rFonts w:ascii="Verdana" w:hAnsi="Verdana" w:cs="Arial"/>
          <w:color w:val="000000"/>
          <w:sz w:val="20"/>
          <w:szCs w:val="20"/>
          <w:lang w:eastAsia="es-MX"/>
        </w:rPr>
        <w:t>“Artículo 13.-</w:t>
      </w:r>
      <w:r w:rsidRPr="00B577DD">
        <w:rPr>
          <w:rFonts w:ascii="Verdana" w:hAnsi="Verdana" w:cs="Arial"/>
          <w:b/>
          <w:bCs/>
          <w:color w:val="000000"/>
          <w:sz w:val="20"/>
          <w:szCs w:val="20"/>
          <w:lang w:eastAsia="es-MX"/>
        </w:rPr>
        <w:t>Recolección y procesamiento de información</w:t>
      </w:r>
      <w:r w:rsidRPr="00B577DD">
        <w:rPr>
          <w:rFonts w:ascii="Verdana" w:hAnsi="Verdana" w:cs="Arial"/>
          <w:color w:val="000000"/>
          <w:sz w:val="20"/>
          <w:szCs w:val="20"/>
          <w:lang w:eastAsia="es-MX"/>
        </w:rPr>
        <w:t xml:space="preserve">. La labor de recolección y procesamiento de la información necesaria para la </w:t>
      </w:r>
      <w:r w:rsidRPr="00B577DD">
        <w:rPr>
          <w:rFonts w:ascii="Verdana" w:hAnsi="Verdana" w:cs="Arial"/>
          <w:color w:val="000000"/>
          <w:sz w:val="20"/>
          <w:szCs w:val="20"/>
          <w:lang w:eastAsia="es-MX"/>
        </w:rPr>
        <w:lastRenderedPageBreak/>
        <w:t xml:space="preserve">evaluación de los criterios y calificación del servicio se realizará según lo establece el MANUAL. </w:t>
      </w:r>
      <w:r w:rsidRPr="00B577DD">
        <w:rPr>
          <w:rFonts w:ascii="Verdana" w:hAnsi="Verdana" w:cs="Arial"/>
          <w:b/>
          <w:color w:val="000000"/>
          <w:sz w:val="20"/>
          <w:szCs w:val="20"/>
          <w:u w:val="single"/>
          <w:lang w:eastAsia="es-MX"/>
        </w:rPr>
        <w:t>Estas labores podrán ser realizadas directamente por el Consejo o bien, contratadas por éste o por los operadores</w:t>
      </w:r>
      <w:r w:rsidRPr="00B577DD">
        <w:rPr>
          <w:rFonts w:ascii="Verdana" w:hAnsi="Verdana" w:cs="Arial"/>
          <w:color w:val="000000"/>
          <w:sz w:val="20"/>
          <w:szCs w:val="20"/>
          <w:lang w:eastAsia="es-MX"/>
        </w:rPr>
        <w:t xml:space="preserve"> de conformidad con lo dispuesto en el decreto Nº 27893-MOPT, Reglamento para la Contratación de Profesionales y Técnicos para la Elaboración de Dictámenes Periciales.</w:t>
      </w:r>
    </w:p>
    <w:p w:rsidR="00355FEB" w:rsidRPr="00B577DD" w:rsidRDefault="00355FEB" w:rsidP="00355FEB">
      <w:pPr>
        <w:spacing w:before="100" w:beforeAutospacing="1" w:after="100" w:afterAutospacing="1"/>
        <w:ind w:left="567" w:right="737"/>
        <w:jc w:val="both"/>
        <w:rPr>
          <w:rFonts w:ascii="Verdana" w:hAnsi="Verdana" w:cs="Arial"/>
          <w:color w:val="000000"/>
          <w:sz w:val="20"/>
          <w:szCs w:val="20"/>
          <w:lang w:eastAsia="es-MX"/>
        </w:rPr>
      </w:pPr>
      <w:r w:rsidRPr="00B577DD">
        <w:rPr>
          <w:rFonts w:ascii="Verdana" w:hAnsi="Verdana" w:cs="Arial"/>
          <w:color w:val="000000"/>
          <w:sz w:val="20"/>
          <w:szCs w:val="20"/>
          <w:u w:val="single"/>
          <w:lang w:eastAsia="es-MX"/>
        </w:rPr>
        <w:t>En este último supuesto, el operador deberá notificar al Consejo de Transporte Público la realización del estudio de calidad, con una antelación de 10 días, a fin de fiscalizar la realización del estudio</w:t>
      </w:r>
      <w:r w:rsidRPr="00B577DD">
        <w:rPr>
          <w:rFonts w:ascii="Verdana" w:hAnsi="Verdana" w:cs="Arial"/>
          <w:color w:val="000000"/>
          <w:sz w:val="20"/>
          <w:szCs w:val="20"/>
          <w:lang w:eastAsia="es-MX"/>
        </w:rPr>
        <w:t>.</w:t>
      </w:r>
    </w:p>
    <w:p w:rsidR="00355FEB" w:rsidRPr="00B577DD" w:rsidRDefault="00355FEB" w:rsidP="00355FEB">
      <w:pPr>
        <w:spacing w:before="100" w:beforeAutospacing="1" w:after="100" w:afterAutospacing="1"/>
        <w:ind w:left="567" w:right="737"/>
        <w:jc w:val="both"/>
        <w:rPr>
          <w:rFonts w:ascii="Verdana" w:hAnsi="Verdana" w:cs="Arial"/>
          <w:color w:val="000000"/>
          <w:sz w:val="20"/>
          <w:szCs w:val="20"/>
          <w:lang w:eastAsia="es-MX"/>
        </w:rPr>
      </w:pPr>
      <w:r w:rsidRPr="00B577DD">
        <w:rPr>
          <w:rFonts w:ascii="Verdana" w:hAnsi="Verdana" w:cs="Arial"/>
          <w:color w:val="000000"/>
          <w:sz w:val="20"/>
          <w:szCs w:val="20"/>
          <w:lang w:eastAsia="es-MX"/>
        </w:rPr>
        <w:t>Artículo 15.-</w:t>
      </w:r>
      <w:r w:rsidRPr="00B577DD">
        <w:rPr>
          <w:rFonts w:ascii="Verdana" w:hAnsi="Verdana" w:cs="Arial"/>
          <w:b/>
          <w:bCs/>
          <w:color w:val="000000"/>
          <w:sz w:val="20"/>
          <w:szCs w:val="20"/>
          <w:lang w:eastAsia="es-MX"/>
        </w:rPr>
        <w:t>Calificación Global</w:t>
      </w:r>
      <w:r w:rsidRPr="00B577DD">
        <w:rPr>
          <w:rFonts w:ascii="Verdana" w:hAnsi="Verdana" w:cs="Arial"/>
          <w:color w:val="000000"/>
          <w:sz w:val="20"/>
          <w:szCs w:val="20"/>
          <w:lang w:eastAsia="es-MX"/>
        </w:rPr>
        <w:t xml:space="preserve">. Para obtener la calificación global de la ruta se calculará un promedio ponderado de la calificación obtenida en los criterios referidos en el numeral anterior y </w:t>
      </w:r>
      <w:r w:rsidRPr="00B577DD">
        <w:rPr>
          <w:rFonts w:ascii="Verdana" w:hAnsi="Verdana" w:cs="Arial"/>
          <w:b/>
          <w:color w:val="000000"/>
          <w:sz w:val="20"/>
          <w:szCs w:val="20"/>
          <w:u w:val="single"/>
          <w:lang w:eastAsia="es-MX"/>
        </w:rPr>
        <w:t>el resultado de la encuesta aplicada a los usuarios del servicio en cuestión</w:t>
      </w:r>
      <w:r w:rsidRPr="00B577DD">
        <w:rPr>
          <w:rFonts w:ascii="Verdana" w:hAnsi="Verdana" w:cs="Arial"/>
          <w:color w:val="000000"/>
          <w:sz w:val="20"/>
          <w:szCs w:val="20"/>
          <w:lang w:eastAsia="es-MX"/>
        </w:rPr>
        <w:t>, cuyos procedimientos estarán definidos en el Manual.</w:t>
      </w:r>
    </w:p>
    <w:p w:rsidR="00355FEB" w:rsidRPr="00B577DD" w:rsidRDefault="00355FEB" w:rsidP="00355FEB">
      <w:pPr>
        <w:spacing w:before="100" w:beforeAutospacing="1" w:after="100" w:afterAutospacing="1"/>
        <w:ind w:left="567" w:right="737"/>
        <w:jc w:val="both"/>
        <w:rPr>
          <w:rFonts w:ascii="Verdana" w:hAnsi="Verdana" w:cs="Arial"/>
          <w:color w:val="000000"/>
          <w:sz w:val="20"/>
          <w:szCs w:val="20"/>
          <w:lang w:eastAsia="es-MX"/>
        </w:rPr>
      </w:pPr>
      <w:r w:rsidRPr="00B577DD">
        <w:rPr>
          <w:rFonts w:ascii="Verdana" w:hAnsi="Verdana" w:cs="Arial"/>
          <w:color w:val="000000"/>
          <w:sz w:val="20"/>
          <w:szCs w:val="20"/>
          <w:lang w:eastAsia="es-MX"/>
        </w:rPr>
        <w:t>Artículo 16.-</w:t>
      </w:r>
      <w:r w:rsidRPr="00B577DD">
        <w:rPr>
          <w:rFonts w:ascii="Verdana" w:hAnsi="Verdana" w:cs="Arial"/>
          <w:b/>
          <w:bCs/>
          <w:color w:val="000000"/>
          <w:sz w:val="20"/>
          <w:szCs w:val="20"/>
          <w:lang w:eastAsia="es-MX"/>
        </w:rPr>
        <w:t>Realización del estudio</w:t>
      </w:r>
      <w:r w:rsidRPr="00B577DD">
        <w:rPr>
          <w:rFonts w:ascii="Verdana" w:hAnsi="Verdana" w:cs="Arial"/>
          <w:color w:val="000000"/>
          <w:sz w:val="20"/>
          <w:szCs w:val="20"/>
          <w:lang w:eastAsia="es-MX"/>
        </w:rPr>
        <w:t>. Una vez contratado el profesional que realizará el estudio, de conformidad con lo establecido en el decreto ejecutivo Nº 27893-MOPT, este contará con un plazo de tres meses calendario para finalizar el estudio contratado.</w:t>
      </w:r>
    </w:p>
    <w:p w:rsidR="00355FEB" w:rsidRPr="00B577DD" w:rsidRDefault="00355FEB" w:rsidP="00355FEB">
      <w:pPr>
        <w:spacing w:before="100" w:beforeAutospacing="1" w:after="100" w:afterAutospacing="1"/>
        <w:ind w:left="567" w:right="737"/>
        <w:jc w:val="both"/>
        <w:rPr>
          <w:rFonts w:ascii="Verdana" w:hAnsi="Verdana" w:cs="Arial"/>
          <w:color w:val="000000"/>
          <w:sz w:val="20"/>
          <w:szCs w:val="20"/>
          <w:lang w:eastAsia="es-MX"/>
        </w:rPr>
      </w:pPr>
      <w:r w:rsidRPr="00B577DD">
        <w:rPr>
          <w:rFonts w:ascii="Verdana" w:hAnsi="Verdana" w:cs="Arial"/>
          <w:color w:val="000000"/>
          <w:sz w:val="20"/>
          <w:szCs w:val="20"/>
          <w:lang w:eastAsia="es-MX"/>
        </w:rPr>
        <w:t>Una vez realizado el estudio, el perito deberá remitir el estudio al Consejo para su respectiva aprobación, según lo establecido en el numeral 16.</w:t>
      </w:r>
    </w:p>
    <w:p w:rsidR="00355FEB" w:rsidRPr="00B577DD" w:rsidRDefault="00355FEB" w:rsidP="00355FEB">
      <w:pPr>
        <w:spacing w:before="100" w:beforeAutospacing="1" w:after="100" w:afterAutospacing="1"/>
        <w:ind w:left="567" w:right="737"/>
        <w:jc w:val="both"/>
        <w:rPr>
          <w:rFonts w:ascii="Verdana" w:hAnsi="Verdana" w:cs="Arial"/>
          <w:color w:val="000000"/>
          <w:sz w:val="20"/>
          <w:szCs w:val="20"/>
          <w:lang w:eastAsia="es-MX"/>
        </w:rPr>
      </w:pPr>
      <w:r w:rsidRPr="00B577DD">
        <w:rPr>
          <w:rFonts w:ascii="Verdana" w:hAnsi="Verdana" w:cs="Arial"/>
          <w:color w:val="000000"/>
          <w:sz w:val="20"/>
          <w:szCs w:val="20"/>
          <w:lang w:eastAsia="es-MX"/>
        </w:rPr>
        <w:t>Para tales efectos, el Consejo contará con un plazo de 30 días naturales contados a partir de la recepción del estudio, para aprobar, improbar, o bien ordenar la elaboración de un nuevo estudio.</w:t>
      </w:r>
    </w:p>
    <w:p w:rsidR="00355FEB" w:rsidRPr="00B577DD" w:rsidRDefault="00355FEB" w:rsidP="00355FEB">
      <w:pPr>
        <w:spacing w:before="100" w:beforeAutospacing="1" w:after="100" w:afterAutospacing="1"/>
        <w:ind w:left="567" w:right="737"/>
        <w:jc w:val="both"/>
        <w:rPr>
          <w:rFonts w:ascii="Verdana" w:hAnsi="Verdana" w:cs="Arial"/>
          <w:b/>
          <w:color w:val="000000"/>
          <w:sz w:val="20"/>
          <w:szCs w:val="20"/>
          <w:u w:val="single"/>
          <w:lang w:eastAsia="es-MX"/>
        </w:rPr>
      </w:pPr>
      <w:r w:rsidRPr="00B577DD">
        <w:rPr>
          <w:rFonts w:ascii="Verdana" w:hAnsi="Verdana" w:cs="Arial"/>
          <w:color w:val="000000"/>
          <w:sz w:val="20"/>
          <w:szCs w:val="20"/>
          <w:lang w:eastAsia="es-MX"/>
        </w:rPr>
        <w:t>Artículo 17. —</w:t>
      </w:r>
      <w:r w:rsidRPr="00B577DD">
        <w:rPr>
          <w:rFonts w:ascii="Verdana" w:hAnsi="Verdana" w:cs="Arial"/>
          <w:b/>
          <w:bCs/>
          <w:color w:val="000000"/>
          <w:sz w:val="20"/>
          <w:szCs w:val="20"/>
          <w:lang w:eastAsia="es-MX"/>
        </w:rPr>
        <w:t>Eficacia y vigencia del estudio:</w:t>
      </w:r>
      <w:r w:rsidRPr="00B577DD">
        <w:rPr>
          <w:rFonts w:ascii="Verdana" w:hAnsi="Verdana" w:cs="Arial"/>
          <w:color w:val="000000"/>
          <w:sz w:val="20"/>
          <w:szCs w:val="20"/>
          <w:lang w:eastAsia="es-MX"/>
        </w:rPr>
        <w:t xml:space="preserve"> Para todos los efectos, el estudio será válido a partir de la fecha de la notificación por parte del Consejo y </w:t>
      </w:r>
      <w:r w:rsidRPr="00B577DD">
        <w:rPr>
          <w:rFonts w:ascii="Verdana" w:hAnsi="Verdana" w:cs="Arial"/>
          <w:b/>
          <w:color w:val="000000"/>
          <w:sz w:val="20"/>
          <w:szCs w:val="20"/>
          <w:u w:val="single"/>
          <w:lang w:eastAsia="es-MX"/>
        </w:rPr>
        <w:t>tendrá una vigencia máxima de un año.</w:t>
      </w:r>
    </w:p>
    <w:p w:rsidR="00355FEB" w:rsidRPr="00B577DD" w:rsidRDefault="00355FEB" w:rsidP="00355FEB">
      <w:pPr>
        <w:spacing w:before="100" w:beforeAutospacing="1" w:after="100" w:afterAutospacing="1"/>
        <w:ind w:left="567" w:right="737"/>
        <w:jc w:val="both"/>
        <w:rPr>
          <w:rFonts w:ascii="Verdana" w:hAnsi="Verdana" w:cs="Arial"/>
          <w:color w:val="000000"/>
          <w:sz w:val="20"/>
          <w:szCs w:val="20"/>
          <w:lang w:eastAsia="es-MX"/>
        </w:rPr>
      </w:pPr>
      <w:r w:rsidRPr="00B577DD">
        <w:rPr>
          <w:rFonts w:ascii="Verdana" w:hAnsi="Verdana" w:cs="Arial"/>
          <w:color w:val="000000"/>
          <w:sz w:val="20"/>
          <w:szCs w:val="20"/>
          <w:lang w:eastAsia="es-MX"/>
        </w:rPr>
        <w:t>Artículo 25.-</w:t>
      </w:r>
      <w:r w:rsidRPr="00B577DD">
        <w:rPr>
          <w:rFonts w:ascii="Verdana" w:hAnsi="Verdana" w:cs="Arial"/>
          <w:b/>
          <w:bCs/>
          <w:color w:val="000000"/>
          <w:sz w:val="20"/>
          <w:szCs w:val="20"/>
          <w:lang w:eastAsia="es-MX"/>
        </w:rPr>
        <w:t>Evaluación de operadores sin estudio</w:t>
      </w:r>
      <w:r w:rsidRPr="00B577DD">
        <w:rPr>
          <w:rFonts w:ascii="Verdana" w:hAnsi="Verdana" w:cs="Arial"/>
          <w:color w:val="000000"/>
          <w:sz w:val="20"/>
          <w:szCs w:val="20"/>
          <w:lang w:eastAsia="es-MX"/>
        </w:rPr>
        <w:t>. En octubre de cada año, el Consejo determinará cuáles operadores no han sido evaluados, tomará las medidas para su evaluación e iniciará el procedimiento de sanción si corresponde.</w:t>
      </w:r>
    </w:p>
    <w:p w:rsidR="00355FEB" w:rsidRPr="00B577DD" w:rsidRDefault="00355FEB" w:rsidP="00355FEB">
      <w:pPr>
        <w:spacing w:before="100" w:beforeAutospacing="1" w:after="100" w:afterAutospacing="1"/>
        <w:ind w:left="567" w:right="737"/>
        <w:jc w:val="both"/>
        <w:rPr>
          <w:rFonts w:ascii="Verdana" w:hAnsi="Verdana" w:cs="Arial"/>
          <w:color w:val="000000"/>
          <w:sz w:val="20"/>
          <w:szCs w:val="20"/>
          <w:lang w:eastAsia="es-MX"/>
        </w:rPr>
      </w:pPr>
      <w:r w:rsidRPr="00B577DD">
        <w:rPr>
          <w:rFonts w:ascii="Verdana" w:hAnsi="Verdana" w:cs="Arial"/>
          <w:color w:val="000000"/>
          <w:sz w:val="20"/>
          <w:szCs w:val="20"/>
          <w:lang w:eastAsia="es-MX"/>
        </w:rPr>
        <w:t>Artículo 26.-</w:t>
      </w:r>
      <w:r w:rsidRPr="00B577DD">
        <w:rPr>
          <w:rFonts w:ascii="Verdana" w:hAnsi="Verdana" w:cs="Arial"/>
          <w:b/>
          <w:bCs/>
          <w:color w:val="000000"/>
          <w:sz w:val="20"/>
          <w:szCs w:val="20"/>
          <w:lang w:eastAsia="es-MX"/>
        </w:rPr>
        <w:t>Carácter vinculante del Reglamento y el Manual</w:t>
      </w:r>
      <w:r w:rsidRPr="00B577DD">
        <w:rPr>
          <w:rFonts w:ascii="Verdana" w:hAnsi="Verdana" w:cs="Arial"/>
          <w:color w:val="000000"/>
          <w:sz w:val="20"/>
          <w:szCs w:val="20"/>
          <w:lang w:eastAsia="es-MX"/>
        </w:rPr>
        <w:t xml:space="preserve">. </w:t>
      </w:r>
      <w:r w:rsidRPr="00B577DD">
        <w:rPr>
          <w:rFonts w:ascii="Verdana" w:hAnsi="Verdana" w:cs="Arial"/>
          <w:color w:val="000000"/>
          <w:sz w:val="20"/>
          <w:szCs w:val="20"/>
          <w:u w:val="single"/>
          <w:lang w:eastAsia="es-MX"/>
        </w:rPr>
        <w:t>Todo contrato de concesión y autorización de permiso de transporte remunerado de pasajeros, debe contener una cláusula que indique que este Reglamento y el Manual forman parte del contrato o permiso, así como las consecuencias derivadas de su incumplimiento.</w:t>
      </w:r>
      <w:r w:rsidRPr="00B577DD">
        <w:rPr>
          <w:rFonts w:ascii="Verdana" w:hAnsi="Verdana" w:cs="Arial"/>
          <w:color w:val="000000"/>
          <w:sz w:val="20"/>
          <w:szCs w:val="20"/>
          <w:lang w:eastAsia="es-MX"/>
        </w:rPr>
        <w:t xml:space="preserve"> El contrato indicará la calificación mínima que deben obtener los operadores en la evaluación de la calidad del servicio, con base en el MODELO vigente, así como las sanciones a aplicar en estos supuestos.</w:t>
      </w:r>
    </w:p>
    <w:p w:rsidR="00355FEB" w:rsidRPr="00B577DD" w:rsidRDefault="00355FEB" w:rsidP="00355FEB">
      <w:pPr>
        <w:spacing w:before="100" w:beforeAutospacing="1" w:after="100" w:afterAutospacing="1"/>
        <w:ind w:left="567" w:right="737"/>
        <w:jc w:val="both"/>
        <w:rPr>
          <w:rFonts w:ascii="Verdana" w:hAnsi="Verdana" w:cs="Arial"/>
          <w:color w:val="000000"/>
          <w:sz w:val="20"/>
          <w:szCs w:val="20"/>
          <w:lang w:eastAsia="es-MX"/>
        </w:rPr>
      </w:pPr>
      <w:r w:rsidRPr="00B577DD">
        <w:rPr>
          <w:rFonts w:ascii="Verdana" w:hAnsi="Verdana" w:cs="Arial"/>
          <w:color w:val="000000"/>
          <w:sz w:val="20"/>
          <w:szCs w:val="20"/>
          <w:lang w:eastAsia="es-MX"/>
        </w:rPr>
        <w:t>Artículo 31.-</w:t>
      </w:r>
      <w:r w:rsidRPr="00B577DD">
        <w:rPr>
          <w:rFonts w:ascii="Verdana" w:hAnsi="Verdana" w:cs="Arial"/>
          <w:b/>
          <w:bCs/>
          <w:color w:val="000000"/>
          <w:sz w:val="20"/>
          <w:szCs w:val="20"/>
          <w:lang w:eastAsia="es-MX"/>
        </w:rPr>
        <w:t>Entrada en vigencia</w:t>
      </w:r>
      <w:r w:rsidRPr="00B577DD">
        <w:rPr>
          <w:rFonts w:ascii="Verdana" w:hAnsi="Verdana" w:cs="Arial"/>
          <w:color w:val="000000"/>
          <w:sz w:val="20"/>
          <w:szCs w:val="20"/>
          <w:lang w:eastAsia="es-MX"/>
        </w:rPr>
        <w:t>. El presente reglamento entrará en vigencia 6 meses posteriores a su publicación en el diario oficial </w:t>
      </w:r>
      <w:r w:rsidRPr="00B577DD">
        <w:rPr>
          <w:rFonts w:ascii="Verdana" w:hAnsi="Verdana" w:cs="Arial"/>
          <w:i/>
          <w:iCs/>
          <w:color w:val="000000"/>
          <w:sz w:val="20"/>
          <w:szCs w:val="20"/>
          <w:lang w:eastAsia="es-MX"/>
        </w:rPr>
        <w:t>La Gaceta</w:t>
      </w:r>
      <w:r w:rsidRPr="00B577DD">
        <w:rPr>
          <w:rFonts w:ascii="Verdana" w:hAnsi="Verdana" w:cs="Arial"/>
          <w:color w:val="000000"/>
          <w:sz w:val="20"/>
          <w:szCs w:val="20"/>
          <w:lang w:eastAsia="es-MX"/>
        </w:rPr>
        <w:t>.</w:t>
      </w:r>
    </w:p>
    <w:p w:rsidR="00355FEB" w:rsidRPr="00B577DD" w:rsidRDefault="00355FEB" w:rsidP="00355FEB">
      <w:pPr>
        <w:spacing w:before="100" w:beforeAutospacing="1" w:after="100" w:afterAutospacing="1"/>
        <w:ind w:left="567" w:right="737"/>
        <w:jc w:val="both"/>
        <w:rPr>
          <w:rFonts w:ascii="Verdana" w:hAnsi="Verdana" w:cs="Arial"/>
          <w:color w:val="000000"/>
          <w:sz w:val="20"/>
          <w:szCs w:val="20"/>
          <w:lang w:eastAsia="es-MX"/>
        </w:rPr>
      </w:pPr>
      <w:r w:rsidRPr="00B577DD">
        <w:rPr>
          <w:rFonts w:ascii="Verdana" w:hAnsi="Verdana" w:cs="Arial"/>
          <w:color w:val="000000"/>
          <w:sz w:val="20"/>
          <w:szCs w:val="20"/>
          <w:lang w:eastAsia="es-MX"/>
        </w:rPr>
        <w:t>Transitorio III.-</w:t>
      </w:r>
      <w:r w:rsidRPr="00B577DD">
        <w:rPr>
          <w:rFonts w:ascii="Verdana" w:hAnsi="Verdana" w:cs="Arial"/>
          <w:b/>
          <w:color w:val="000000"/>
          <w:sz w:val="20"/>
          <w:szCs w:val="20"/>
          <w:u w:val="single"/>
          <w:lang w:eastAsia="es-MX"/>
        </w:rPr>
        <w:t xml:space="preserve">Los operadores del transporte colectivo remunerado de personas, contarán con un plazo improrrogable e inmodificable de seis meses, contados a partir de la (sic) del día inmediato posterior a la entrada en vigencia del reglamento, </w:t>
      </w:r>
      <w:r w:rsidRPr="00B577DD">
        <w:rPr>
          <w:rFonts w:ascii="Verdana" w:hAnsi="Verdana" w:cs="Arial"/>
          <w:b/>
          <w:color w:val="000000"/>
          <w:sz w:val="20"/>
          <w:szCs w:val="20"/>
          <w:u w:val="single"/>
          <w:lang w:eastAsia="es-MX"/>
        </w:rPr>
        <w:lastRenderedPageBreak/>
        <w:t>para aportar al Consejo el estudio de calidad de servicio</w:t>
      </w:r>
      <w:r w:rsidRPr="00B577DD">
        <w:rPr>
          <w:rFonts w:ascii="Verdana" w:hAnsi="Verdana" w:cs="Arial"/>
          <w:color w:val="000000"/>
          <w:sz w:val="20"/>
          <w:szCs w:val="20"/>
          <w:lang w:eastAsia="es-MX"/>
        </w:rPr>
        <w:t xml:space="preserve">. Lo anterior sin perjuicio de lo establecido en el numeral 25 del presente reglamento.” </w:t>
      </w:r>
    </w:p>
    <w:p w:rsidR="00355FEB" w:rsidRPr="00DF5296" w:rsidRDefault="00355FEB" w:rsidP="00355FEB">
      <w:pPr>
        <w:spacing w:before="100" w:beforeAutospacing="1" w:after="100" w:afterAutospacing="1"/>
        <w:ind w:left="737" w:right="737"/>
        <w:jc w:val="both"/>
        <w:rPr>
          <w:rFonts w:ascii="Verdana" w:hAnsi="Verdana" w:cs="Arial"/>
          <w:b/>
          <w:color w:val="000000"/>
          <w:sz w:val="22"/>
          <w:szCs w:val="22"/>
          <w:lang w:eastAsia="es-MX"/>
        </w:rPr>
      </w:pPr>
      <w:r w:rsidRPr="00DF5296">
        <w:rPr>
          <w:rFonts w:ascii="Verdana" w:hAnsi="Verdana" w:cs="Arial"/>
          <w:b/>
          <w:color w:val="000000"/>
          <w:sz w:val="22"/>
          <w:szCs w:val="22"/>
          <w:lang w:eastAsia="es-MX"/>
        </w:rPr>
        <w:t>(Lo subrayado no es del original)</w:t>
      </w:r>
    </w:p>
    <w:p w:rsidR="00355FEB" w:rsidRPr="00DF5296" w:rsidRDefault="00355FEB" w:rsidP="00355FEB">
      <w:pPr>
        <w:jc w:val="both"/>
        <w:rPr>
          <w:rFonts w:ascii="Verdana" w:hAnsi="Verdana"/>
          <w:sz w:val="22"/>
          <w:szCs w:val="22"/>
        </w:rPr>
      </w:pPr>
      <w:r w:rsidRPr="00DF5296">
        <w:rPr>
          <w:rFonts w:ascii="Verdana" w:hAnsi="Verdana"/>
          <w:sz w:val="22"/>
          <w:szCs w:val="22"/>
        </w:rPr>
        <w:t xml:space="preserve">De las normas transcritas se pueden colegir las obligaciones ineludibles e improrrogables establecidas tanto para la Administración como para el prestatario del servicio público. </w:t>
      </w:r>
    </w:p>
    <w:p w:rsidR="00355FEB" w:rsidRPr="00DF5296" w:rsidRDefault="00355FEB" w:rsidP="00355FEB">
      <w:pPr>
        <w:jc w:val="both"/>
        <w:rPr>
          <w:rFonts w:ascii="Verdana" w:hAnsi="Verdana"/>
          <w:sz w:val="22"/>
          <w:szCs w:val="22"/>
        </w:rPr>
      </w:pPr>
    </w:p>
    <w:p w:rsidR="00355FEB" w:rsidRPr="00DF5296" w:rsidRDefault="00355FEB" w:rsidP="00355FEB">
      <w:pPr>
        <w:jc w:val="both"/>
        <w:rPr>
          <w:rFonts w:ascii="Verdana" w:hAnsi="Verdana"/>
          <w:sz w:val="22"/>
          <w:szCs w:val="22"/>
        </w:rPr>
      </w:pPr>
      <w:r w:rsidRPr="00DF5296">
        <w:rPr>
          <w:rFonts w:ascii="Verdana" w:hAnsi="Verdana"/>
          <w:sz w:val="22"/>
          <w:szCs w:val="22"/>
        </w:rPr>
        <w:t>Sobre las competencias y el ejercicio de los deberes públicos el artículo 66 de la Ley General de la Administración Pública establece lo siguiente:</w:t>
      </w:r>
    </w:p>
    <w:p w:rsidR="00355FEB" w:rsidRPr="00DF5296" w:rsidRDefault="00355FEB" w:rsidP="00355FEB">
      <w:pPr>
        <w:jc w:val="both"/>
        <w:rPr>
          <w:rFonts w:ascii="Verdana" w:hAnsi="Verdana"/>
          <w:sz w:val="22"/>
          <w:szCs w:val="22"/>
        </w:rPr>
      </w:pPr>
    </w:p>
    <w:p w:rsidR="00355FEB" w:rsidRPr="00B577DD" w:rsidRDefault="00355FEB" w:rsidP="00355FEB">
      <w:pPr>
        <w:pStyle w:val="Textosinformato"/>
        <w:ind w:left="567" w:right="849"/>
        <w:jc w:val="both"/>
        <w:rPr>
          <w:rFonts w:ascii="Verdana" w:hAnsi="Verdana"/>
          <w:color w:val="000000"/>
        </w:rPr>
      </w:pPr>
      <w:r w:rsidRPr="00B577DD">
        <w:rPr>
          <w:rFonts w:ascii="Verdana" w:hAnsi="Verdana"/>
          <w:color w:val="000000"/>
        </w:rPr>
        <w:t xml:space="preserve">     Artículo 66.-</w:t>
      </w:r>
    </w:p>
    <w:p w:rsidR="00355FEB" w:rsidRPr="00B577DD" w:rsidRDefault="00355FEB" w:rsidP="00355FEB">
      <w:pPr>
        <w:pStyle w:val="Textosinformato"/>
        <w:ind w:left="567" w:right="849"/>
        <w:jc w:val="both"/>
        <w:rPr>
          <w:rFonts w:ascii="Verdana" w:hAnsi="Verdana"/>
          <w:color w:val="000000"/>
        </w:rPr>
      </w:pPr>
    </w:p>
    <w:p w:rsidR="00355FEB" w:rsidRPr="00B577DD" w:rsidRDefault="00355FEB" w:rsidP="00355FEB">
      <w:pPr>
        <w:pStyle w:val="Textosinformato"/>
        <w:ind w:left="567" w:right="849"/>
        <w:jc w:val="both"/>
        <w:rPr>
          <w:rFonts w:ascii="Verdana" w:hAnsi="Verdana"/>
          <w:color w:val="000000"/>
        </w:rPr>
      </w:pPr>
      <w:r w:rsidRPr="00B577DD">
        <w:rPr>
          <w:rFonts w:ascii="Verdana" w:hAnsi="Verdana"/>
          <w:color w:val="000000"/>
        </w:rPr>
        <w:t xml:space="preserve">     1. Las potestades de imperio y su ejercicio, y los deberes públicos y su cumplimiento, serán irrenunciables, intransmisibles e imprescriptibles.     </w:t>
      </w:r>
    </w:p>
    <w:p w:rsidR="00355FEB" w:rsidRPr="00B577DD" w:rsidRDefault="00355FEB" w:rsidP="00355FEB">
      <w:pPr>
        <w:pStyle w:val="Textosinformato"/>
        <w:ind w:left="567" w:right="849"/>
        <w:jc w:val="both"/>
        <w:rPr>
          <w:rFonts w:ascii="Verdana" w:hAnsi="Verdana"/>
          <w:color w:val="000000"/>
        </w:rPr>
      </w:pPr>
      <w:r w:rsidRPr="00B577DD">
        <w:rPr>
          <w:rFonts w:ascii="Verdana" w:hAnsi="Verdana"/>
          <w:color w:val="000000"/>
        </w:rPr>
        <w:t xml:space="preserve">     2. Sólo por ley podrán establecerse compromisos de no ejercer una potestad de imperio. Dicho compromiso sólo podrá darse dentro de un acto o contrato bilateral y oneroso.</w:t>
      </w:r>
    </w:p>
    <w:p w:rsidR="00355FEB" w:rsidRPr="00B577DD" w:rsidRDefault="00355FEB" w:rsidP="00355FEB">
      <w:pPr>
        <w:pStyle w:val="Textosinformato"/>
        <w:ind w:left="567" w:right="849"/>
        <w:jc w:val="both"/>
        <w:rPr>
          <w:rFonts w:ascii="Verdana" w:hAnsi="Verdana"/>
          <w:color w:val="000000"/>
        </w:rPr>
      </w:pPr>
      <w:r w:rsidRPr="00B577DD">
        <w:rPr>
          <w:rFonts w:ascii="Verdana" w:hAnsi="Verdana"/>
          <w:color w:val="000000"/>
        </w:rPr>
        <w:t xml:space="preserve">     3. El ejercicio de las potestades en casos concretos podrá estar expresamente sujeto a caducidad, en virtud de otras leyes.</w:t>
      </w:r>
    </w:p>
    <w:p w:rsidR="00355FEB" w:rsidRPr="00DF5296" w:rsidRDefault="00355FEB" w:rsidP="00355FEB">
      <w:pPr>
        <w:jc w:val="both"/>
        <w:rPr>
          <w:rFonts w:ascii="Verdana" w:hAnsi="Verdana"/>
          <w:sz w:val="22"/>
          <w:szCs w:val="22"/>
        </w:rPr>
      </w:pPr>
    </w:p>
    <w:p w:rsidR="00355FEB" w:rsidRPr="00DF5296" w:rsidRDefault="00355FEB" w:rsidP="00355FEB">
      <w:pPr>
        <w:jc w:val="both"/>
        <w:rPr>
          <w:rFonts w:ascii="Verdana" w:hAnsi="Verdana"/>
          <w:sz w:val="22"/>
          <w:szCs w:val="22"/>
        </w:rPr>
      </w:pPr>
      <w:r w:rsidRPr="00DF5296">
        <w:rPr>
          <w:rFonts w:ascii="Verdana" w:hAnsi="Verdana"/>
          <w:sz w:val="22"/>
          <w:szCs w:val="22"/>
        </w:rPr>
        <w:t xml:space="preserve">La competencia del Consejo de Transporte Público, dispuesta en la Ley 7969, es </w:t>
      </w:r>
      <w:r w:rsidRPr="00DF5296">
        <w:rPr>
          <w:rFonts w:ascii="Verdana" w:hAnsi="Verdana" w:cs="Arial"/>
          <w:color w:val="000000"/>
          <w:sz w:val="22"/>
          <w:szCs w:val="22"/>
          <w:lang w:eastAsia="es-CR"/>
        </w:rPr>
        <w:t xml:space="preserve">velar por la calidad de los servicios requeridos en el desarrollo del transporte público, esto con relación a los principios fundamentales del servicio público para asegurar su continuidad, eficiencia, adaptación a todo cambio en el régimen legal o en la necesidad social que satisfacen y la igualdad en el trato de los destinatarios, usuarios o beneficiarios, según lo  establecido en el artículo 4 la Ley General de la Administración Pública. </w:t>
      </w:r>
    </w:p>
    <w:p w:rsidR="00355FEB" w:rsidRPr="00DF5296" w:rsidRDefault="00355FEB" w:rsidP="00355FEB">
      <w:pPr>
        <w:jc w:val="both"/>
        <w:rPr>
          <w:rFonts w:ascii="Verdana" w:hAnsi="Verdana"/>
          <w:sz w:val="22"/>
          <w:szCs w:val="22"/>
        </w:rPr>
      </w:pPr>
    </w:p>
    <w:p w:rsidR="00355FEB" w:rsidRPr="00DF5296" w:rsidRDefault="00355FEB" w:rsidP="00355FEB">
      <w:pPr>
        <w:jc w:val="both"/>
        <w:rPr>
          <w:rFonts w:ascii="Verdana" w:hAnsi="Verdana"/>
          <w:b/>
          <w:i/>
          <w:sz w:val="22"/>
          <w:szCs w:val="22"/>
        </w:rPr>
      </w:pPr>
      <w:r w:rsidRPr="00DF5296">
        <w:rPr>
          <w:rFonts w:ascii="Verdana" w:hAnsi="Verdana"/>
          <w:sz w:val="22"/>
          <w:szCs w:val="22"/>
        </w:rPr>
        <w:t xml:space="preserve">Debemos recordar que dicha normativa, el decreto de repetida cita, está dispuesta para garantizar a los usuarios una eficiente y eficaz prestación de los servicios públicos, en concordancia, con lo dispuesto en el artículo 4 de la Ley General de la Administración Pública  que establece que </w:t>
      </w:r>
      <w:r w:rsidRPr="00DF5296">
        <w:rPr>
          <w:rFonts w:ascii="Verdana" w:hAnsi="Verdana"/>
          <w:b/>
          <w:i/>
          <w:sz w:val="22"/>
          <w:szCs w:val="22"/>
        </w:rPr>
        <w:t>:”</w:t>
      </w:r>
      <w:r w:rsidRPr="00DF5296">
        <w:rPr>
          <w:rFonts w:ascii="Verdana" w:hAnsi="Verdana"/>
          <w:b/>
          <w:i/>
          <w:color w:val="000000"/>
          <w:sz w:val="22"/>
          <w:szCs w:val="22"/>
        </w:rPr>
        <w:t>La actividad de los entes públicos deberá estar sujeta en su conjunto a los principios fundamentales del servicio público, para asegurar su continuidad, su eficiencia, su adaptación a todo cambio en el régimen legal o en la necesidad social que satisfacen y la igualdad en el trato de los destinatarios, usuarios o beneficiarios”</w:t>
      </w:r>
    </w:p>
    <w:p w:rsidR="00355FEB" w:rsidRPr="00DF5296" w:rsidRDefault="00355FEB" w:rsidP="00355FEB">
      <w:pPr>
        <w:jc w:val="both"/>
        <w:rPr>
          <w:rFonts w:ascii="Verdana" w:hAnsi="Verdana"/>
          <w:sz w:val="22"/>
          <w:szCs w:val="22"/>
        </w:rPr>
      </w:pPr>
    </w:p>
    <w:p w:rsidR="00355FEB" w:rsidRPr="00DF5296" w:rsidRDefault="00355FEB" w:rsidP="00355FEB">
      <w:pPr>
        <w:jc w:val="both"/>
        <w:rPr>
          <w:rFonts w:ascii="Verdana" w:hAnsi="Verdana"/>
          <w:sz w:val="22"/>
          <w:szCs w:val="22"/>
        </w:rPr>
      </w:pPr>
      <w:r w:rsidRPr="00DF5296">
        <w:rPr>
          <w:rFonts w:ascii="Verdana" w:hAnsi="Verdana"/>
          <w:sz w:val="22"/>
          <w:szCs w:val="22"/>
        </w:rPr>
        <w:t xml:space="preserve">Así las </w:t>
      </w:r>
      <w:proofErr w:type="gramStart"/>
      <w:r w:rsidRPr="00DF5296">
        <w:rPr>
          <w:rFonts w:ascii="Verdana" w:hAnsi="Verdana"/>
          <w:sz w:val="22"/>
          <w:szCs w:val="22"/>
        </w:rPr>
        <w:t>cosas</w:t>
      </w:r>
      <w:proofErr w:type="gramEnd"/>
      <w:r w:rsidRPr="00DF5296">
        <w:rPr>
          <w:rFonts w:ascii="Verdana" w:hAnsi="Verdana"/>
          <w:sz w:val="22"/>
          <w:szCs w:val="22"/>
        </w:rPr>
        <w:t xml:space="preserve"> el Decreto Ejecutivo N° 28833-MOPT, lo que establece es una evaluación anual sobre la calidad del servicio, que entre otros aspectos de la evaluación dispone encuestas aplicadas a los usuarios del servicio para determinar la satisfacción o no de los servicios recibidos de manera periódica, anualmente, y determinar el interés o rechazo de las comunidades de que la empresa que les da el servicio lo continúe prestando. </w:t>
      </w:r>
    </w:p>
    <w:p w:rsidR="00355FEB" w:rsidRPr="00DF5296" w:rsidRDefault="00355FEB" w:rsidP="00355FEB">
      <w:pPr>
        <w:jc w:val="both"/>
        <w:rPr>
          <w:rFonts w:ascii="Verdana" w:hAnsi="Verdana"/>
          <w:sz w:val="22"/>
          <w:szCs w:val="22"/>
          <w:lang w:val="es-MX"/>
        </w:rPr>
      </w:pPr>
    </w:p>
    <w:p w:rsidR="00355FEB" w:rsidRPr="00DF5296" w:rsidRDefault="00355FEB" w:rsidP="00355FEB">
      <w:pPr>
        <w:jc w:val="both"/>
        <w:rPr>
          <w:rFonts w:ascii="Verdana" w:hAnsi="Verdana"/>
          <w:sz w:val="22"/>
          <w:szCs w:val="22"/>
          <w:lang w:val="es-MX"/>
        </w:rPr>
      </w:pPr>
      <w:r w:rsidRPr="00DF5296">
        <w:rPr>
          <w:rFonts w:ascii="Verdana" w:hAnsi="Verdana"/>
          <w:sz w:val="22"/>
          <w:szCs w:val="22"/>
          <w:lang w:val="es-MX"/>
        </w:rPr>
        <w:t xml:space="preserve">Por lo indicado hasta aquí, para este Tribunal el </w:t>
      </w:r>
      <w:r w:rsidRPr="00DF5296">
        <w:rPr>
          <w:rFonts w:ascii="Verdana" w:hAnsi="Verdana"/>
          <w:b/>
          <w:sz w:val="22"/>
          <w:szCs w:val="22"/>
          <w:lang w:val="es-MX"/>
        </w:rPr>
        <w:t xml:space="preserve">MANUAL PARA LA EVALUACIÓN Y CALIFICACIÓN DE LA CALIDAD DEL SERVICIO PUBLICO DE TRANSPORTE REMUNERADO DE PERSONAS, </w:t>
      </w:r>
      <w:r w:rsidRPr="00DF5296">
        <w:rPr>
          <w:rFonts w:ascii="Verdana" w:hAnsi="Verdana"/>
          <w:sz w:val="22"/>
          <w:szCs w:val="22"/>
          <w:lang w:val="es-MX"/>
        </w:rPr>
        <w:t xml:space="preserve">precisamente viene a instrumentalizar el Decreto de cita, en aras de materializar un sistema </w:t>
      </w:r>
      <w:r w:rsidRPr="00DF5296">
        <w:rPr>
          <w:rFonts w:ascii="Verdana" w:hAnsi="Verdana"/>
          <w:sz w:val="22"/>
          <w:szCs w:val="22"/>
          <w:lang w:val="es-MX"/>
        </w:rPr>
        <w:lastRenderedPageBreak/>
        <w:t>de evaluación de la calidad a las empresas en resguardo del buen servicio público a que tienen derecho los usuarios del servicio.</w:t>
      </w:r>
    </w:p>
    <w:p w:rsidR="00355FEB" w:rsidRPr="00DF5296" w:rsidRDefault="00355FEB" w:rsidP="00355FEB">
      <w:pPr>
        <w:jc w:val="both"/>
        <w:rPr>
          <w:rFonts w:ascii="Verdana" w:hAnsi="Verdana"/>
          <w:sz w:val="22"/>
          <w:szCs w:val="22"/>
          <w:lang w:val="es-MX"/>
        </w:rPr>
      </w:pPr>
    </w:p>
    <w:p w:rsidR="00355FEB" w:rsidRPr="00DF5296" w:rsidRDefault="00355FEB" w:rsidP="00355FEB">
      <w:pPr>
        <w:jc w:val="both"/>
        <w:rPr>
          <w:rFonts w:ascii="Verdana" w:hAnsi="Verdana"/>
          <w:sz w:val="22"/>
          <w:szCs w:val="22"/>
          <w:lang w:val="es-MX"/>
        </w:rPr>
      </w:pPr>
      <w:r w:rsidRPr="00DF5296">
        <w:rPr>
          <w:rFonts w:ascii="Verdana" w:hAnsi="Verdana"/>
          <w:sz w:val="22"/>
          <w:szCs w:val="22"/>
          <w:lang w:val="es-MX"/>
        </w:rPr>
        <w:t>Del mismo dicho de la recurrente se puede extraer que el Consejo d</w:t>
      </w:r>
      <w:r>
        <w:rPr>
          <w:rFonts w:ascii="Verdana" w:hAnsi="Verdana"/>
          <w:sz w:val="22"/>
          <w:szCs w:val="22"/>
          <w:lang w:val="es-MX"/>
        </w:rPr>
        <w:t>e Transporte Público incluso dio</w:t>
      </w:r>
      <w:r w:rsidRPr="00DF5296">
        <w:rPr>
          <w:rFonts w:ascii="Verdana" w:hAnsi="Verdana"/>
          <w:sz w:val="22"/>
          <w:szCs w:val="22"/>
          <w:lang w:val="es-MX"/>
        </w:rPr>
        <w:t xml:space="preserve"> audiencia a las empresas para que se refirieran a un borrador de manual, aceptando algunas sugerencias y no aplicando otras, </w:t>
      </w:r>
      <w:r>
        <w:rPr>
          <w:rFonts w:ascii="Verdana" w:hAnsi="Verdana"/>
          <w:sz w:val="22"/>
          <w:szCs w:val="22"/>
          <w:lang w:val="es-MX"/>
        </w:rPr>
        <w:t xml:space="preserve">respecto de </w:t>
      </w:r>
      <w:r w:rsidRPr="00DF5296">
        <w:rPr>
          <w:rFonts w:ascii="Verdana" w:hAnsi="Verdana"/>
          <w:sz w:val="22"/>
          <w:szCs w:val="22"/>
          <w:lang w:val="es-MX"/>
        </w:rPr>
        <w:t xml:space="preserve">estas últimas la empresa recurrente </w:t>
      </w:r>
      <w:r>
        <w:rPr>
          <w:rFonts w:ascii="Verdana" w:hAnsi="Verdana"/>
          <w:sz w:val="22"/>
          <w:szCs w:val="22"/>
          <w:lang w:val="es-MX"/>
        </w:rPr>
        <w:t>viene a impugnar</w:t>
      </w:r>
      <w:r w:rsidRPr="00DF5296">
        <w:rPr>
          <w:rFonts w:ascii="Verdana" w:hAnsi="Verdana"/>
          <w:sz w:val="22"/>
          <w:szCs w:val="22"/>
          <w:lang w:val="es-MX"/>
        </w:rPr>
        <w:t>.  Se reitera que lo actuado está dentro de las potestades del Consejo de Transpor</w:t>
      </w:r>
      <w:r>
        <w:rPr>
          <w:rFonts w:ascii="Verdana" w:hAnsi="Verdana"/>
          <w:sz w:val="22"/>
          <w:szCs w:val="22"/>
          <w:lang w:val="es-MX"/>
        </w:rPr>
        <w:t>te Público y en acatamiento al r</w:t>
      </w:r>
      <w:r w:rsidRPr="00DF5296">
        <w:rPr>
          <w:rFonts w:ascii="Verdana" w:hAnsi="Verdana"/>
          <w:sz w:val="22"/>
          <w:szCs w:val="22"/>
          <w:lang w:val="es-MX"/>
        </w:rPr>
        <w:t xml:space="preserve">eglamento de reiterada cita, no pudiendo pretender las concesionarias que todas sus observaciones fueran acogidas, pues esto precisamente lejos de favorecer la evaluación de la calidad y determinar realmente el sentir de los usuarios sería crear un instrumento a la medida de las empresas concesionarias. </w:t>
      </w:r>
    </w:p>
    <w:p w:rsidR="00355FEB" w:rsidRPr="00DF5296" w:rsidRDefault="00355FEB" w:rsidP="00355FEB">
      <w:pPr>
        <w:pStyle w:val="NormalWeb"/>
        <w:jc w:val="both"/>
        <w:rPr>
          <w:rFonts w:ascii="Verdana" w:hAnsi="Verdana"/>
          <w:b/>
          <w:sz w:val="22"/>
          <w:szCs w:val="22"/>
          <w:lang w:val="es-MX"/>
        </w:rPr>
      </w:pPr>
      <w:r w:rsidRPr="00DF5296">
        <w:rPr>
          <w:rFonts w:ascii="Verdana" w:hAnsi="Verdana"/>
          <w:sz w:val="22"/>
          <w:szCs w:val="22"/>
        </w:rPr>
        <w:t xml:space="preserve">La Administración, tiene el deber de fiscalizar y verificar la correcta prestación del servicio remunerado de personas que delega en los particulares, pero también </w:t>
      </w:r>
      <w:r w:rsidRPr="00DF5296">
        <w:rPr>
          <w:rFonts w:ascii="Verdana" w:hAnsi="Verdana"/>
          <w:b/>
          <w:sz w:val="22"/>
          <w:szCs w:val="22"/>
        </w:rPr>
        <w:t>cuenta con la potestad de dictar todas aquellas pautas generales que de acuerdo con criterios técnicos sean necesarias para una mejor prestación del servicio público cedido</w:t>
      </w:r>
      <w:r w:rsidRPr="00DF5296">
        <w:rPr>
          <w:rFonts w:ascii="Verdana" w:hAnsi="Verdana"/>
          <w:sz w:val="22"/>
          <w:szCs w:val="22"/>
        </w:rPr>
        <w:t xml:space="preserve">. El transporte remunerado de personas, como se indicó en otro apartado de los considerandos de esta resolución,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designado por el ordenamiento jurídico y debe acatar las directrices que la Administración determine para el cumplimiento de su servicio público tal es el caso del </w:t>
      </w:r>
      <w:r w:rsidRPr="00DF5296">
        <w:rPr>
          <w:rFonts w:ascii="Verdana" w:hAnsi="Verdana"/>
          <w:b/>
          <w:sz w:val="22"/>
          <w:szCs w:val="22"/>
          <w:lang w:val="es-MX"/>
        </w:rPr>
        <w:t>MANUAL PARA LA EVALUACIÓN Y CALIFICACIÓN DE LA CALIDAD DEL SERVICIO PUBLICO DE TRANSPORTE REMUNERADO DE PERSONAS.</w:t>
      </w:r>
    </w:p>
    <w:p w:rsidR="00355FEB" w:rsidRPr="00DF5296" w:rsidRDefault="00355FEB" w:rsidP="00355FEB">
      <w:pPr>
        <w:pStyle w:val="NormalWeb"/>
        <w:jc w:val="both"/>
        <w:rPr>
          <w:rFonts w:ascii="Verdana" w:hAnsi="Verdana"/>
          <w:sz w:val="22"/>
          <w:szCs w:val="22"/>
        </w:rPr>
      </w:pPr>
      <w:r w:rsidRPr="00DF5296">
        <w:rPr>
          <w:rFonts w:ascii="Verdana" w:hAnsi="Verdana"/>
          <w:sz w:val="22"/>
          <w:szCs w:val="22"/>
        </w:rPr>
        <w:t>Por lo indicado anteriormente y al no aportar la recurrente un estudio técnico que sustente su dicho y que pueda anteponerse al manual aprobado, es el criterio de este colegio que debe rechazarse el recurso planteado.</w:t>
      </w:r>
    </w:p>
    <w:p w:rsidR="00355FEB" w:rsidRPr="00DF5296" w:rsidRDefault="00355FEB" w:rsidP="00355FEB">
      <w:pPr>
        <w:pStyle w:val="NormalWeb"/>
        <w:jc w:val="both"/>
        <w:rPr>
          <w:rFonts w:ascii="Verdana" w:hAnsi="Verdana"/>
          <w:b/>
          <w:sz w:val="22"/>
          <w:szCs w:val="22"/>
        </w:rPr>
      </w:pPr>
      <w:r w:rsidRPr="00DF5296">
        <w:rPr>
          <w:rFonts w:ascii="Verdana" w:hAnsi="Verdana"/>
          <w:sz w:val="22"/>
          <w:szCs w:val="22"/>
        </w:rPr>
        <w:t>En cuanto a la nulidad invocada, se ha podido verificar que el acto recurrido contrario a lo manifestado si cuenta con los elementos esenciales para su validez y ejecución; se encuentra motiva</w:t>
      </w:r>
      <w:r>
        <w:rPr>
          <w:rFonts w:ascii="Verdana" w:hAnsi="Verdana"/>
          <w:sz w:val="22"/>
          <w:szCs w:val="22"/>
        </w:rPr>
        <w:t>do y su contenido es acorde al P</w:t>
      </w:r>
      <w:r w:rsidRPr="00DF5296">
        <w:rPr>
          <w:rFonts w:ascii="Verdana" w:hAnsi="Verdana"/>
          <w:sz w:val="22"/>
          <w:szCs w:val="22"/>
        </w:rPr>
        <w:t>rincipio de Legalidad, por lo que la nulidad invocada debe rechazarse también.</w:t>
      </w:r>
    </w:p>
    <w:p w:rsidR="00355FEB" w:rsidRPr="00DF5296" w:rsidRDefault="00355FEB" w:rsidP="00355FEB">
      <w:pPr>
        <w:spacing w:after="120"/>
        <w:jc w:val="center"/>
        <w:rPr>
          <w:rFonts w:ascii="Verdana" w:hAnsi="Verdana"/>
          <w:b/>
          <w:sz w:val="22"/>
          <w:szCs w:val="22"/>
        </w:rPr>
      </w:pPr>
    </w:p>
    <w:p w:rsidR="00355FEB" w:rsidRPr="00DF5296" w:rsidRDefault="00355FEB" w:rsidP="00355FEB">
      <w:pPr>
        <w:spacing w:after="120"/>
        <w:jc w:val="center"/>
        <w:rPr>
          <w:rFonts w:ascii="Verdana" w:hAnsi="Verdana"/>
          <w:b/>
          <w:sz w:val="22"/>
          <w:szCs w:val="22"/>
        </w:rPr>
      </w:pPr>
      <w:r w:rsidRPr="00DF5296">
        <w:rPr>
          <w:rFonts w:ascii="Verdana" w:hAnsi="Verdana"/>
          <w:b/>
          <w:sz w:val="22"/>
          <w:szCs w:val="22"/>
        </w:rPr>
        <w:t>POR TANTO</w:t>
      </w:r>
    </w:p>
    <w:p w:rsidR="00355FEB" w:rsidRPr="00DF5296" w:rsidRDefault="00355FEB" w:rsidP="00355FEB">
      <w:pPr>
        <w:pStyle w:val="Sinespaciado"/>
        <w:rPr>
          <w:rFonts w:ascii="Verdana" w:hAnsi="Verdana"/>
          <w:sz w:val="22"/>
          <w:szCs w:val="22"/>
        </w:rPr>
      </w:pPr>
    </w:p>
    <w:p w:rsidR="00355FEB" w:rsidRPr="00DF5296" w:rsidRDefault="00355FEB" w:rsidP="00355FEB">
      <w:pPr>
        <w:pStyle w:val="Sinespaciado"/>
        <w:jc w:val="both"/>
        <w:rPr>
          <w:rFonts w:ascii="Verdana" w:hAnsi="Verdana"/>
          <w:sz w:val="22"/>
          <w:szCs w:val="22"/>
          <w:lang w:val="es-MX"/>
        </w:rPr>
      </w:pPr>
      <w:r w:rsidRPr="00DF5296">
        <w:rPr>
          <w:rFonts w:ascii="Verdana" w:hAnsi="Verdana"/>
          <w:b/>
          <w:sz w:val="22"/>
          <w:szCs w:val="22"/>
        </w:rPr>
        <w:t>I.-</w:t>
      </w:r>
      <w:r w:rsidRPr="00DF5296">
        <w:rPr>
          <w:rFonts w:ascii="Verdana" w:hAnsi="Verdana"/>
          <w:sz w:val="22"/>
          <w:szCs w:val="22"/>
        </w:rPr>
        <w:tab/>
        <w:t xml:space="preserve">Se declara sin lugar el </w:t>
      </w:r>
      <w:r w:rsidRPr="00DF5296">
        <w:rPr>
          <w:rFonts w:ascii="Verdana" w:hAnsi="Verdana" w:cs="Arial"/>
          <w:b/>
          <w:sz w:val="22"/>
          <w:szCs w:val="22"/>
        </w:rPr>
        <w:t>Recurso de Apelación en Subsidio y Nulidad concomitante,</w:t>
      </w:r>
      <w:r w:rsidRPr="00DF5296">
        <w:rPr>
          <w:rFonts w:ascii="Verdana" w:hAnsi="Verdana" w:cs="Arial"/>
          <w:sz w:val="22"/>
          <w:szCs w:val="22"/>
        </w:rPr>
        <w:t xml:space="preserve"> presentado por la empresa </w:t>
      </w:r>
      <w:r w:rsidR="009B1279">
        <w:rPr>
          <w:rFonts w:ascii="Verdana" w:hAnsi="Verdana" w:cs="Arial"/>
          <w:b/>
          <w:sz w:val="22"/>
          <w:szCs w:val="22"/>
        </w:rPr>
        <w:t>C.A.S.</w:t>
      </w:r>
      <w:r w:rsidRPr="00DF5296">
        <w:rPr>
          <w:rFonts w:ascii="Verdana" w:hAnsi="Verdana" w:cs="Arial"/>
          <w:b/>
          <w:sz w:val="22"/>
          <w:szCs w:val="22"/>
        </w:rPr>
        <w:t xml:space="preserve">, </w:t>
      </w:r>
      <w:r w:rsidRPr="00DF5296">
        <w:rPr>
          <w:rFonts w:ascii="Verdana" w:hAnsi="Verdana" w:cs="Arial"/>
          <w:sz w:val="22"/>
          <w:szCs w:val="22"/>
        </w:rPr>
        <w:t>por medio del señor</w:t>
      </w:r>
      <w:r w:rsidRPr="00DF5296">
        <w:rPr>
          <w:rFonts w:ascii="Verdana" w:hAnsi="Verdana" w:cs="Arial"/>
          <w:b/>
          <w:sz w:val="22"/>
          <w:szCs w:val="22"/>
        </w:rPr>
        <w:t xml:space="preserve"> </w:t>
      </w:r>
      <w:r w:rsidR="009B1279">
        <w:rPr>
          <w:rFonts w:ascii="Verdana" w:hAnsi="Verdana" w:cs="Arial"/>
          <w:b/>
          <w:sz w:val="22"/>
          <w:szCs w:val="22"/>
        </w:rPr>
        <w:t>A.O.M.</w:t>
      </w:r>
      <w:r w:rsidRPr="00DF5296">
        <w:rPr>
          <w:rFonts w:ascii="Verdana" w:hAnsi="Verdana" w:cs="Arial"/>
          <w:b/>
          <w:sz w:val="22"/>
          <w:szCs w:val="22"/>
        </w:rPr>
        <w:t xml:space="preserve">, </w:t>
      </w:r>
      <w:r w:rsidRPr="00DF5296">
        <w:rPr>
          <w:rFonts w:ascii="Verdana" w:hAnsi="Verdana" w:cs="Arial"/>
          <w:sz w:val="22"/>
          <w:szCs w:val="22"/>
        </w:rPr>
        <w:t xml:space="preserve">en su condición de Apoderado Generalísimo sin Límite de Suma, contra el </w:t>
      </w:r>
      <w:r w:rsidRPr="00DF5296">
        <w:rPr>
          <w:rFonts w:ascii="Verdana" w:hAnsi="Verdana" w:cs="Arial"/>
          <w:b/>
          <w:sz w:val="22"/>
          <w:szCs w:val="22"/>
        </w:rPr>
        <w:t>Artículo 7.2 de la Sesión Ordinaria 44-2015 del 30 de julio de 2015, de la Junta Directiva del Consejo de Transporte Público.</w:t>
      </w:r>
      <w:r w:rsidRPr="00DF5296">
        <w:rPr>
          <w:rFonts w:ascii="Verdana" w:hAnsi="Verdana" w:cs="Arial"/>
          <w:sz w:val="22"/>
          <w:szCs w:val="22"/>
        </w:rPr>
        <w:t xml:space="preserve"> </w:t>
      </w:r>
    </w:p>
    <w:p w:rsidR="00355FEB" w:rsidRPr="00DF5296" w:rsidRDefault="00355FEB" w:rsidP="00355FEB">
      <w:pPr>
        <w:pStyle w:val="Sinespaciado"/>
        <w:jc w:val="both"/>
        <w:rPr>
          <w:rFonts w:ascii="Verdana" w:hAnsi="Verdana"/>
          <w:b/>
          <w:sz w:val="22"/>
          <w:szCs w:val="22"/>
          <w:lang w:val="es-MX"/>
        </w:rPr>
      </w:pPr>
    </w:p>
    <w:p w:rsidR="00355FEB" w:rsidRPr="00DF5296" w:rsidRDefault="00355FEB" w:rsidP="00355FEB">
      <w:pPr>
        <w:pStyle w:val="Sinespaciado"/>
        <w:jc w:val="both"/>
        <w:rPr>
          <w:rFonts w:ascii="Verdana" w:hAnsi="Verdana"/>
          <w:sz w:val="22"/>
          <w:szCs w:val="22"/>
        </w:rPr>
      </w:pPr>
      <w:r w:rsidRPr="00DF5296">
        <w:rPr>
          <w:rFonts w:ascii="Verdana" w:hAnsi="Verdana"/>
          <w:b/>
          <w:sz w:val="22"/>
          <w:szCs w:val="22"/>
          <w:lang w:val="es-MX"/>
        </w:rPr>
        <w:t>II.-</w:t>
      </w:r>
      <w:r w:rsidRPr="00DF5296">
        <w:rPr>
          <w:rFonts w:ascii="Verdana" w:hAnsi="Verdana"/>
          <w:sz w:val="22"/>
          <w:szCs w:val="22"/>
          <w:lang w:val="es-MX"/>
        </w:rPr>
        <w:tab/>
      </w:r>
      <w:r w:rsidRPr="00DF5296">
        <w:rPr>
          <w:rFonts w:ascii="Verdana" w:hAnsi="Verdana"/>
          <w:sz w:val="22"/>
          <w:szCs w:val="22"/>
        </w:rPr>
        <w:t xml:space="preserve">Conforme las determinaciones del numeral 22, inciso c), de la Ley No. 7969, </w:t>
      </w:r>
      <w:r w:rsidRPr="00DF5296">
        <w:rPr>
          <w:rFonts w:ascii="Verdana" w:hAnsi="Verdana"/>
          <w:b/>
          <w:i/>
          <w:sz w:val="22"/>
          <w:szCs w:val="22"/>
        </w:rPr>
        <w:t>se da por agotada la vía administrativa.</w:t>
      </w:r>
    </w:p>
    <w:p w:rsidR="00355FEB" w:rsidRPr="00DF5296" w:rsidRDefault="00355FEB" w:rsidP="00355FEB">
      <w:pPr>
        <w:pStyle w:val="Sinespaciado"/>
        <w:jc w:val="both"/>
        <w:rPr>
          <w:rFonts w:ascii="Verdana" w:hAnsi="Verdana"/>
          <w:sz w:val="22"/>
          <w:szCs w:val="22"/>
        </w:rPr>
      </w:pPr>
    </w:p>
    <w:p w:rsidR="00355FEB" w:rsidRPr="00DF5296" w:rsidRDefault="00355FEB" w:rsidP="00355FEB">
      <w:pPr>
        <w:pStyle w:val="Sinespaciado"/>
        <w:jc w:val="both"/>
        <w:rPr>
          <w:rFonts w:ascii="Verdana" w:hAnsi="Verdana"/>
          <w:b/>
          <w:sz w:val="22"/>
          <w:szCs w:val="22"/>
        </w:rPr>
      </w:pPr>
      <w:r w:rsidRPr="00DF5296">
        <w:rPr>
          <w:rFonts w:ascii="Verdana" w:hAnsi="Verdana"/>
          <w:b/>
          <w:sz w:val="22"/>
          <w:szCs w:val="22"/>
        </w:rPr>
        <w:t>III.-</w:t>
      </w:r>
      <w:r w:rsidRPr="00DF5296">
        <w:rPr>
          <w:rFonts w:ascii="Verdana" w:hAnsi="Verdana"/>
          <w:sz w:val="22"/>
          <w:szCs w:val="22"/>
        </w:rPr>
        <w:tab/>
      </w:r>
      <w:r w:rsidRPr="00DF5296">
        <w:rPr>
          <w:rFonts w:ascii="Verdana" w:hAnsi="Verdana"/>
          <w:b/>
          <w:sz w:val="22"/>
          <w:szCs w:val="22"/>
        </w:rPr>
        <w:t>NOTIFIQUESE.</w:t>
      </w:r>
    </w:p>
    <w:p w:rsidR="00355FEB" w:rsidRPr="00DF5296" w:rsidRDefault="00355FEB" w:rsidP="00355FEB">
      <w:pPr>
        <w:pStyle w:val="Sinespaciado"/>
        <w:rPr>
          <w:rFonts w:ascii="Verdana" w:hAnsi="Verdana"/>
          <w:sz w:val="22"/>
          <w:szCs w:val="22"/>
        </w:rPr>
      </w:pPr>
    </w:p>
    <w:p w:rsidR="00355FEB" w:rsidRDefault="00355FEB" w:rsidP="00355FEB">
      <w:pPr>
        <w:pStyle w:val="Sinespaciado"/>
        <w:rPr>
          <w:rFonts w:ascii="Verdana" w:hAnsi="Verdana"/>
          <w:sz w:val="22"/>
          <w:szCs w:val="22"/>
        </w:rPr>
      </w:pPr>
    </w:p>
    <w:p w:rsidR="00355FEB" w:rsidRDefault="00355FEB" w:rsidP="00355FEB">
      <w:pPr>
        <w:pStyle w:val="Sinespaciado"/>
        <w:rPr>
          <w:rFonts w:ascii="Verdana" w:hAnsi="Verdana"/>
          <w:sz w:val="22"/>
          <w:szCs w:val="22"/>
        </w:rPr>
      </w:pPr>
    </w:p>
    <w:p w:rsidR="00355FEB" w:rsidRDefault="00355FEB" w:rsidP="00355FEB">
      <w:pPr>
        <w:pStyle w:val="Sinespaciado"/>
        <w:rPr>
          <w:rFonts w:ascii="Verdana" w:hAnsi="Verdana"/>
          <w:sz w:val="22"/>
          <w:szCs w:val="22"/>
        </w:rPr>
      </w:pPr>
    </w:p>
    <w:p w:rsidR="00355FEB" w:rsidRPr="00DF5296" w:rsidRDefault="00355FEB" w:rsidP="00355FEB">
      <w:pPr>
        <w:pStyle w:val="Sinespaciado"/>
        <w:rPr>
          <w:rFonts w:ascii="Verdana" w:hAnsi="Verdana"/>
          <w:sz w:val="22"/>
          <w:szCs w:val="22"/>
        </w:rPr>
      </w:pPr>
    </w:p>
    <w:p w:rsidR="00355FEB" w:rsidRPr="00DF5296" w:rsidRDefault="00355FEB" w:rsidP="00355FEB">
      <w:pPr>
        <w:pStyle w:val="Sinespaciado"/>
        <w:rPr>
          <w:rFonts w:ascii="Verdana" w:hAnsi="Verdana"/>
          <w:sz w:val="22"/>
          <w:szCs w:val="22"/>
        </w:rPr>
      </w:pPr>
    </w:p>
    <w:p w:rsidR="00355FEB" w:rsidRPr="00DF5296" w:rsidRDefault="00355FEB" w:rsidP="00355FEB">
      <w:pPr>
        <w:pStyle w:val="Sinespaciado"/>
        <w:jc w:val="center"/>
        <w:rPr>
          <w:rFonts w:ascii="Verdana" w:hAnsi="Verdana"/>
          <w:sz w:val="22"/>
          <w:szCs w:val="22"/>
        </w:rPr>
      </w:pPr>
      <w:r w:rsidRPr="00DF5296">
        <w:rPr>
          <w:rFonts w:ascii="Verdana" w:hAnsi="Verdana"/>
          <w:sz w:val="22"/>
          <w:szCs w:val="22"/>
        </w:rPr>
        <w:t xml:space="preserve">Lic. Carlos </w:t>
      </w:r>
      <w:proofErr w:type="spellStart"/>
      <w:r w:rsidRPr="00DF5296">
        <w:rPr>
          <w:rFonts w:ascii="Verdana" w:hAnsi="Verdana"/>
          <w:sz w:val="22"/>
          <w:szCs w:val="22"/>
        </w:rPr>
        <w:t>Portuguez</w:t>
      </w:r>
      <w:proofErr w:type="spellEnd"/>
      <w:r w:rsidRPr="00DF5296">
        <w:rPr>
          <w:rFonts w:ascii="Verdana" w:hAnsi="Verdana"/>
          <w:sz w:val="22"/>
          <w:szCs w:val="22"/>
        </w:rPr>
        <w:t xml:space="preserve"> Méndez</w:t>
      </w:r>
    </w:p>
    <w:p w:rsidR="00355FEB" w:rsidRPr="00DF5296" w:rsidRDefault="00355FEB" w:rsidP="00355FEB">
      <w:pPr>
        <w:pStyle w:val="Sinespaciado"/>
        <w:jc w:val="center"/>
        <w:rPr>
          <w:rFonts w:ascii="Verdana" w:hAnsi="Verdana"/>
          <w:b/>
          <w:sz w:val="22"/>
          <w:szCs w:val="22"/>
        </w:rPr>
      </w:pPr>
      <w:r w:rsidRPr="00DF5296">
        <w:rPr>
          <w:rFonts w:ascii="Verdana" w:hAnsi="Verdana"/>
          <w:b/>
          <w:sz w:val="22"/>
          <w:szCs w:val="22"/>
        </w:rPr>
        <w:t>Presidente</w:t>
      </w:r>
    </w:p>
    <w:p w:rsidR="00355FEB" w:rsidRPr="00DF5296" w:rsidRDefault="00355FEB" w:rsidP="00355FEB">
      <w:pPr>
        <w:pStyle w:val="Sinespaciado"/>
        <w:rPr>
          <w:rFonts w:ascii="Verdana" w:hAnsi="Verdana"/>
          <w:sz w:val="22"/>
          <w:szCs w:val="22"/>
        </w:rPr>
      </w:pPr>
    </w:p>
    <w:p w:rsidR="00355FEB" w:rsidRPr="00DF5296" w:rsidRDefault="00355FEB" w:rsidP="00355FEB">
      <w:pPr>
        <w:pStyle w:val="Sinespaciado"/>
        <w:jc w:val="center"/>
        <w:rPr>
          <w:rFonts w:ascii="Verdana" w:hAnsi="Verdana"/>
          <w:sz w:val="22"/>
          <w:szCs w:val="22"/>
        </w:rPr>
      </w:pPr>
    </w:p>
    <w:p w:rsidR="00355FEB" w:rsidRDefault="00355FEB" w:rsidP="00355FEB">
      <w:pPr>
        <w:pStyle w:val="Sinespaciado"/>
        <w:rPr>
          <w:rFonts w:ascii="Verdana" w:hAnsi="Verdana"/>
          <w:sz w:val="22"/>
          <w:szCs w:val="22"/>
        </w:rPr>
      </w:pPr>
    </w:p>
    <w:p w:rsidR="00355FEB" w:rsidRDefault="00355FEB" w:rsidP="00355FEB">
      <w:pPr>
        <w:pStyle w:val="Sinespaciado"/>
        <w:rPr>
          <w:rFonts w:ascii="Verdana" w:hAnsi="Verdana"/>
          <w:sz w:val="22"/>
          <w:szCs w:val="22"/>
        </w:rPr>
      </w:pPr>
    </w:p>
    <w:p w:rsidR="00355FEB" w:rsidRDefault="00355FEB" w:rsidP="00355FEB">
      <w:pPr>
        <w:pStyle w:val="Sinespaciado"/>
        <w:rPr>
          <w:rFonts w:ascii="Verdana" w:hAnsi="Verdana"/>
          <w:sz w:val="22"/>
          <w:szCs w:val="22"/>
        </w:rPr>
      </w:pPr>
    </w:p>
    <w:p w:rsidR="00355FEB" w:rsidRPr="00DF5296" w:rsidRDefault="00355FEB" w:rsidP="00355FEB">
      <w:pPr>
        <w:pStyle w:val="Sinespaciado"/>
        <w:rPr>
          <w:rFonts w:ascii="Verdana" w:hAnsi="Verdana"/>
          <w:sz w:val="22"/>
          <w:szCs w:val="22"/>
        </w:rPr>
      </w:pPr>
    </w:p>
    <w:p w:rsidR="00355FEB" w:rsidRPr="00DF5296" w:rsidRDefault="00355FEB" w:rsidP="00355FEB">
      <w:pPr>
        <w:pStyle w:val="Sinespaciado"/>
        <w:rPr>
          <w:rFonts w:ascii="Verdana" w:hAnsi="Verdana"/>
          <w:sz w:val="22"/>
          <w:szCs w:val="22"/>
        </w:rPr>
      </w:pPr>
    </w:p>
    <w:p w:rsidR="00355FEB" w:rsidRPr="00DF5296" w:rsidRDefault="00355FEB" w:rsidP="00355FEB">
      <w:pPr>
        <w:pStyle w:val="Sinespaciado"/>
        <w:jc w:val="center"/>
        <w:rPr>
          <w:rFonts w:ascii="Verdana" w:hAnsi="Verdana"/>
          <w:sz w:val="22"/>
          <w:szCs w:val="22"/>
        </w:rPr>
      </w:pPr>
    </w:p>
    <w:p w:rsidR="00355FEB" w:rsidRPr="00DF5296" w:rsidRDefault="00355FEB" w:rsidP="00355FEB">
      <w:pPr>
        <w:pStyle w:val="Sinespaciado"/>
        <w:jc w:val="center"/>
        <w:rPr>
          <w:rFonts w:ascii="Verdana" w:hAnsi="Verdana"/>
          <w:sz w:val="22"/>
          <w:szCs w:val="22"/>
        </w:rPr>
      </w:pPr>
      <w:r w:rsidRPr="00DF5296">
        <w:rPr>
          <w:rFonts w:ascii="Verdana" w:hAnsi="Verdana"/>
          <w:sz w:val="22"/>
          <w:szCs w:val="22"/>
        </w:rPr>
        <w:t>Licda. Marta Luz Pérez Peláez</w:t>
      </w:r>
      <w:r w:rsidRPr="00DF5296">
        <w:rPr>
          <w:rFonts w:ascii="Verdana" w:hAnsi="Verdana"/>
          <w:sz w:val="22"/>
          <w:szCs w:val="22"/>
        </w:rPr>
        <w:tab/>
        <w:t>Lic. Mario Quesada Aguirre</w:t>
      </w:r>
    </w:p>
    <w:p w:rsidR="00355FEB" w:rsidRPr="00DF5296" w:rsidRDefault="00355FEB" w:rsidP="00355FEB">
      <w:pPr>
        <w:pStyle w:val="Sinespaciado"/>
        <w:rPr>
          <w:rFonts w:ascii="Verdana" w:hAnsi="Verdana"/>
          <w:sz w:val="22"/>
          <w:szCs w:val="22"/>
        </w:rPr>
      </w:pPr>
      <w:r w:rsidRPr="00DF5296">
        <w:rPr>
          <w:rFonts w:ascii="Verdana" w:hAnsi="Verdana"/>
          <w:b/>
          <w:sz w:val="22"/>
          <w:szCs w:val="22"/>
        </w:rPr>
        <w:t xml:space="preserve">                         Jueza</w:t>
      </w:r>
      <w:r w:rsidRPr="00DF5296">
        <w:rPr>
          <w:rFonts w:ascii="Verdana" w:hAnsi="Verdana"/>
          <w:b/>
          <w:sz w:val="22"/>
          <w:szCs w:val="22"/>
        </w:rPr>
        <w:tab/>
      </w:r>
      <w:r w:rsidRPr="00DF5296">
        <w:rPr>
          <w:rFonts w:ascii="Verdana" w:hAnsi="Verdana"/>
          <w:b/>
          <w:sz w:val="22"/>
          <w:szCs w:val="22"/>
        </w:rPr>
        <w:tab/>
      </w:r>
      <w:r w:rsidRPr="00DF5296">
        <w:rPr>
          <w:rFonts w:ascii="Verdana" w:hAnsi="Verdana"/>
          <w:b/>
          <w:sz w:val="22"/>
          <w:szCs w:val="22"/>
        </w:rPr>
        <w:tab/>
      </w:r>
      <w:r w:rsidRPr="00DF5296">
        <w:rPr>
          <w:rFonts w:ascii="Verdana" w:hAnsi="Verdana"/>
          <w:b/>
          <w:sz w:val="22"/>
          <w:szCs w:val="22"/>
        </w:rPr>
        <w:tab/>
      </w:r>
      <w:r w:rsidRPr="00DF5296">
        <w:rPr>
          <w:rFonts w:ascii="Verdana" w:hAnsi="Verdana"/>
          <w:b/>
          <w:sz w:val="22"/>
          <w:szCs w:val="22"/>
        </w:rPr>
        <w:tab/>
      </w:r>
      <w:r w:rsidRPr="00DF5296">
        <w:rPr>
          <w:rFonts w:ascii="Verdana" w:hAnsi="Verdana"/>
          <w:b/>
          <w:sz w:val="22"/>
          <w:szCs w:val="22"/>
        </w:rPr>
        <w:tab/>
        <w:t xml:space="preserve">    Juez</w:t>
      </w:r>
      <w:r w:rsidRPr="00DF5296">
        <w:rPr>
          <w:rFonts w:ascii="Verdana" w:hAnsi="Verdana"/>
          <w:sz w:val="22"/>
          <w:szCs w:val="22"/>
        </w:rPr>
        <w:t xml:space="preserve">                </w:t>
      </w:r>
    </w:p>
    <w:p w:rsidR="00355FEB" w:rsidRPr="00DF5296" w:rsidRDefault="00355FEB" w:rsidP="00355FEB">
      <w:pPr>
        <w:rPr>
          <w:sz w:val="22"/>
          <w:szCs w:val="22"/>
        </w:rPr>
      </w:pPr>
    </w:p>
    <w:p w:rsidR="00355FEB" w:rsidRPr="00DF5296" w:rsidRDefault="00355FEB" w:rsidP="00355FEB">
      <w:pPr>
        <w:rPr>
          <w:sz w:val="22"/>
          <w:szCs w:val="22"/>
        </w:rPr>
      </w:pPr>
    </w:p>
    <w:p w:rsidR="00387580" w:rsidRDefault="00387580"/>
    <w:sectPr w:rsidR="00387580" w:rsidSect="003B0C62">
      <w:footerReference w:type="even"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C62" w:rsidRDefault="009B1279" w:rsidP="003B0C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0C62" w:rsidRDefault="009B1279" w:rsidP="003B0C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C62" w:rsidRPr="00AB7A16" w:rsidRDefault="009B1279" w:rsidP="003B0C62">
    <w:pPr>
      <w:pStyle w:val="Piedepgina"/>
      <w:ind w:right="360"/>
      <w:rPr>
        <w:lang w:val="es-MX"/>
      </w:rPr>
    </w:pPr>
    <w:r>
      <w:rPr>
        <w:lang w:val="es-MX"/>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7D77"/>
    <w:multiLevelType w:val="hybridMultilevel"/>
    <w:tmpl w:val="64A44834"/>
    <w:lvl w:ilvl="0" w:tplc="E8FE15D2">
      <w:start w:val="1"/>
      <w:numFmt w:val="decimal"/>
      <w:lvlText w:val="%1."/>
      <w:lvlJc w:val="left"/>
      <w:pPr>
        <w:ind w:left="700" w:hanging="360"/>
      </w:pPr>
      <w:rPr>
        <w:rFonts w:hint="default"/>
      </w:rPr>
    </w:lvl>
    <w:lvl w:ilvl="1" w:tplc="140A0019" w:tentative="1">
      <w:start w:val="1"/>
      <w:numFmt w:val="lowerLetter"/>
      <w:lvlText w:val="%2."/>
      <w:lvlJc w:val="left"/>
      <w:pPr>
        <w:ind w:left="1420" w:hanging="360"/>
      </w:pPr>
    </w:lvl>
    <w:lvl w:ilvl="2" w:tplc="140A001B" w:tentative="1">
      <w:start w:val="1"/>
      <w:numFmt w:val="lowerRoman"/>
      <w:lvlText w:val="%3."/>
      <w:lvlJc w:val="right"/>
      <w:pPr>
        <w:ind w:left="2140" w:hanging="180"/>
      </w:pPr>
    </w:lvl>
    <w:lvl w:ilvl="3" w:tplc="140A000F" w:tentative="1">
      <w:start w:val="1"/>
      <w:numFmt w:val="decimal"/>
      <w:lvlText w:val="%4."/>
      <w:lvlJc w:val="left"/>
      <w:pPr>
        <w:ind w:left="2860" w:hanging="360"/>
      </w:pPr>
    </w:lvl>
    <w:lvl w:ilvl="4" w:tplc="140A0019" w:tentative="1">
      <w:start w:val="1"/>
      <w:numFmt w:val="lowerLetter"/>
      <w:lvlText w:val="%5."/>
      <w:lvlJc w:val="left"/>
      <w:pPr>
        <w:ind w:left="3580" w:hanging="360"/>
      </w:pPr>
    </w:lvl>
    <w:lvl w:ilvl="5" w:tplc="140A001B" w:tentative="1">
      <w:start w:val="1"/>
      <w:numFmt w:val="lowerRoman"/>
      <w:lvlText w:val="%6."/>
      <w:lvlJc w:val="right"/>
      <w:pPr>
        <w:ind w:left="4300" w:hanging="180"/>
      </w:pPr>
    </w:lvl>
    <w:lvl w:ilvl="6" w:tplc="140A000F" w:tentative="1">
      <w:start w:val="1"/>
      <w:numFmt w:val="decimal"/>
      <w:lvlText w:val="%7."/>
      <w:lvlJc w:val="left"/>
      <w:pPr>
        <w:ind w:left="5020" w:hanging="360"/>
      </w:pPr>
    </w:lvl>
    <w:lvl w:ilvl="7" w:tplc="140A0019" w:tentative="1">
      <w:start w:val="1"/>
      <w:numFmt w:val="lowerLetter"/>
      <w:lvlText w:val="%8."/>
      <w:lvlJc w:val="left"/>
      <w:pPr>
        <w:ind w:left="5740" w:hanging="360"/>
      </w:pPr>
    </w:lvl>
    <w:lvl w:ilvl="8" w:tplc="140A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EB"/>
    <w:rsid w:val="00355FEB"/>
    <w:rsid w:val="00387580"/>
    <w:rsid w:val="009B12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441A"/>
  <w15:chartTrackingRefBased/>
  <w15:docId w15:val="{EB989704-5E0A-4092-96F0-291FEA91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5F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55FEB"/>
    <w:pPr>
      <w:tabs>
        <w:tab w:val="center" w:pos="4252"/>
        <w:tab w:val="right" w:pos="8504"/>
      </w:tabs>
    </w:pPr>
  </w:style>
  <w:style w:type="character" w:customStyle="1" w:styleId="PiedepginaCar">
    <w:name w:val="Pie de página Car"/>
    <w:basedOn w:val="Fuentedeprrafopredeter"/>
    <w:link w:val="Piedepgina"/>
    <w:rsid w:val="00355F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55FEB"/>
  </w:style>
  <w:style w:type="paragraph" w:styleId="NormalWeb">
    <w:name w:val="Normal (Web)"/>
    <w:basedOn w:val="Normal"/>
    <w:rsid w:val="00355FEB"/>
    <w:pPr>
      <w:spacing w:before="100" w:beforeAutospacing="1" w:after="100" w:afterAutospacing="1"/>
    </w:pPr>
  </w:style>
  <w:style w:type="paragraph" w:styleId="Sinespaciado">
    <w:name w:val="No Spacing"/>
    <w:link w:val="SinespaciadoCar"/>
    <w:uiPriority w:val="1"/>
    <w:qFormat/>
    <w:rsid w:val="00355FE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355FE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355FEB"/>
    <w:pPr>
      <w:ind w:left="720"/>
      <w:contextualSpacing/>
    </w:pPr>
  </w:style>
  <w:style w:type="paragraph" w:styleId="Textosinformato">
    <w:name w:val="Plain Text"/>
    <w:basedOn w:val="Normal"/>
    <w:link w:val="TextosinformatoCar"/>
    <w:rsid w:val="00355FEB"/>
    <w:rPr>
      <w:rFonts w:ascii="Courier New" w:hAnsi="Courier New"/>
      <w:sz w:val="20"/>
      <w:szCs w:val="20"/>
    </w:rPr>
  </w:style>
  <w:style w:type="character" w:customStyle="1" w:styleId="TextosinformatoCar">
    <w:name w:val="Texto sin formato Car"/>
    <w:basedOn w:val="Fuentedeprrafopredeter"/>
    <w:link w:val="Textosinformato"/>
    <w:rsid w:val="00355FEB"/>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24</Pages>
  <Words>9828</Words>
  <Characters>54058</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1</cp:revision>
  <dcterms:created xsi:type="dcterms:W3CDTF">2016-08-09T15:06:00Z</dcterms:created>
  <dcterms:modified xsi:type="dcterms:W3CDTF">2016-08-09T15:34:00Z</dcterms:modified>
</cp:coreProperties>
</file>